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autoSpaceDE w:val="0"/>
        <w:widowControl/>
        <w:spacing w:line="307" w:lineRule="auto" w:before="6202" w:after="0"/>
        <w:ind w:left="1590" w:right="5760" w:firstLine="0"/>
        <w:jc w:val="left"/>
      </w:pPr>
      <w:r>
        <w:rPr>
          <w:rFonts w:ascii="" w:hAnsi="" w:eastAsia=""/>
          <w:b/>
          <w:i w:val="0"/>
          <w:color w:val="000000"/>
          <w:sz w:val="56"/>
        </w:rPr>
        <w:t xml:space="preserve">Alpha Everest Capital DSCR / Non-QM Lending Guidelines June 12th, 2026 </w:t>
      </w:r>
      <w:r>
        <w:br/>
      </w:r>
      <w:r>
        <w:rPr>
          <w:rFonts w:ascii="" w:hAnsi="" w:eastAsia=""/>
          <w:b/>
          <w:i w:val="0"/>
          <w:color w:val="000000"/>
          <w:sz w:val="32"/>
        </w:rPr>
        <w:t xml:space="preserve"/>
      </w:r>
      <w:r>
        <w:br/>
      </w:r>
      <w:r>
        <w:rPr>
          <w:rFonts w:ascii="" w:hAnsi="" w:eastAsia=""/>
          <w:b w:val="0"/>
          <w:i w:val="0"/>
          <w:color w:val="000000"/>
          <w:sz w:val="20"/>
        </w:rPr>
        <w:t/>
      </w:r>
      <w:r>
        <w:rPr>
          <w:rFonts w:ascii="" w:hAnsi="" w:eastAsia=""/>
          <w:b w:val="0"/>
          <w:i w:val="0"/>
          <w:color w:val="000000"/>
          <w:sz w:val="12"/>
        </w:rPr>
        <w:t/>
      </w:r>
      <w:r>
        <w:rPr>
          <w:rFonts w:ascii="" w:hAnsi="" w:eastAsia=""/>
          <w:b w:val="0"/>
          <w:i w:val="0"/>
          <w:color w:val="000000"/>
          <w:sz w:val="20"/>
        </w:rPr>
        <w:t xml:space="preserve"/>
      </w:r>
    </w:p>
    <w:p>
      <w:pPr>
        <w:autoSpaceDN w:val="0"/>
        <w:autoSpaceDE w:val="0"/>
        <w:widowControl/>
        <w:spacing w:line="197" w:lineRule="auto" w:before="5902" w:after="0"/>
        <w:ind w:left="1590" w:right="0" w:firstLine="0"/>
        <w:jc w:val="left"/>
      </w:pPr>
      <w:r>
        <w:rPr>
          <w:rFonts w:ascii="" w:hAnsi="" w:eastAsia=""/>
          <w:b w:val="0"/>
          <w:i/>
          <w:color w:val="000000"/>
          <w:sz w:val="20"/>
        </w:rPr>
        <w:t xml:space="preserve">This document is provided for inhouse underwriting team only. All terms herein are subject to change by </w:t>
      </w:r>
    </w:p>
    <w:p>
      <w:pPr>
        <w:autoSpaceDN w:val="0"/>
        <w:autoSpaceDE w:val="0"/>
        <w:widowControl/>
        <w:spacing w:line="197" w:lineRule="auto" w:before="44" w:after="0"/>
        <w:ind w:left="1590" w:right="0" w:firstLine="0"/>
        <w:jc w:val="left"/>
      </w:pPr>
      <w:r>
        <w:rPr>
          <w:rFonts w:ascii="" w:hAnsi="" w:eastAsia=""/>
          <w:b w:val="0"/>
          <w:i/>
          <w:color w:val="000000"/>
          <w:sz w:val="20"/>
        </w:rPr>
        <w:t xml:space="preserve">Alpha Everest Capital without prior notice. </w:t>
      </w:r>
    </w:p>
    <w:p>
      <w:pPr>
        <w:autoSpaceDN w:val="0"/>
        <w:autoSpaceDE w:val="0"/>
        <w:widowControl/>
        <w:spacing w:line="218" w:lineRule="auto" w:before="730" w:after="0"/>
        <w:ind w:left="0" w:right="0" w:firstLine="0"/>
        <w:jc w:val="center"/>
      </w:pPr>
      <w:r>
        <w:rPr>
          <w:rFonts w:ascii="" w:hAnsi="" w:eastAsia=""/>
          <w:b w:val="0"/>
          <w:i w:val="0"/>
          <w:color w:val="4F81BD"/>
          <w:sz w:val="22"/>
        </w:rPr>
        <w:t xml:space="preserve">1 </w:t>
      </w:r>
    </w:p>
    <w:p>
      <w:pPr>
        <w:sectPr>
          <w:pgSz w:w="12240" w:h="15840"/>
          <w:pgMar w:top="0" w:right="0" w:bottom="0" w:left="0" w:header="720" w:footer="720" w:gutter="0"/>
          <w:cols/>
          <w:docGrid w:linePitch="360"/>
        </w:sectPr>
      </w:pPr>
    </w:p>
    <w:p>
      <w:pPr>
        <w:autoSpaceDN w:val="0"/>
        <w:autoSpaceDE w:val="0"/>
        <w:widowControl/>
        <w:spacing w:line="226" w:lineRule="auto" w:before="1706" w:after="0"/>
        <w:ind w:left="1590" w:right="0" w:firstLine="0"/>
        <w:jc w:val="left"/>
      </w:pPr>
      <w:r>
        <w:rPr>
          <w:rFonts w:ascii="" w:hAnsi="" w:eastAsia=""/>
          <w:b/>
          <w:i w:val="0"/>
          <w:color w:val="548DD4"/>
          <w:sz w:val="32"/>
        </w:rPr>
        <w:t>1.</w:t>
      </w:r>
      <w:r>
        <w:rPr>
          <w:rFonts w:ascii="" w:hAnsi="" w:eastAsia=""/>
          <w:b/>
          <w:i w:val="0"/>
          <w:color w:val="548DD4"/>
          <w:sz w:val="32"/>
        </w:rPr>
        <w:t>​</w:t>
      </w:r>
      <w:r>
        <w:rPr>
          <w:rFonts w:ascii="" w:hAnsi="" w:eastAsia=""/>
          <w:b/>
          <w:i w:val="0"/>
          <w:color w:val="548DD4"/>
          <w:sz w:val="32"/>
        </w:rPr>
        <w:t xml:space="preserve">Program Overview | Summary and Features </w:t>
      </w:r>
    </w:p>
    <w:p>
      <w:pPr>
        <w:autoSpaceDN w:val="0"/>
        <w:autoSpaceDE w:val="0"/>
        <w:widowControl/>
        <w:spacing w:line="197" w:lineRule="auto" w:before="290" w:after="0"/>
        <w:ind w:left="1590" w:right="0" w:firstLine="0"/>
        <w:jc w:val="left"/>
      </w:pPr>
      <w:r>
        <w:rPr>
          <w:rFonts w:ascii="" w:hAnsi="" w:eastAsia=""/>
          <w:b w:val="0"/>
          <w:i w:val="0"/>
          <w:color w:val="000000"/>
          <w:sz w:val="20"/>
        </w:rPr>
        <w:t xml:space="preserve">Please see </w:t>
      </w:r>
      <w:r>
        <w:rPr>
          <w:rFonts w:ascii="" w:hAnsi="" w:eastAsia=""/>
          <w:b/>
          <w:i w:val="0"/>
          <w:color w:val="000000"/>
          <w:sz w:val="20"/>
          <w:u w:val="single"/>
        </w:rPr>
        <w:t>Program Matrices</w:t>
      </w:r>
      <w:r>
        <w:rPr>
          <w:rFonts w:ascii="" w:hAnsi="" w:eastAsia=""/>
          <w:b/>
          <w:i w:val="0"/>
          <w:color w:val="000000"/>
          <w:sz w:val="20"/>
        </w:rPr>
        <w:t xml:space="preserve"> </w:t>
      </w:r>
      <w:r>
        <w:rPr>
          <w:rFonts w:ascii="" w:hAnsi="" w:eastAsia=""/>
          <w:b w:val="0"/>
          <w:i w:val="0"/>
          <w:color w:val="000000"/>
          <w:sz w:val="20"/>
        </w:rPr>
        <w:t xml:space="preserve">for the full eligibility guidelines. The information below is a representative </w:t>
      </w:r>
    </w:p>
    <w:p>
      <w:pPr>
        <w:autoSpaceDN w:val="0"/>
        <w:autoSpaceDE w:val="0"/>
        <w:widowControl/>
        <w:spacing w:line="197" w:lineRule="auto" w:before="44" w:after="6"/>
        <w:ind w:left="1590" w:right="0" w:firstLine="0"/>
        <w:jc w:val="left"/>
      </w:pPr>
      <w:r>
        <w:rPr>
          <w:rFonts w:ascii="" w:hAnsi="" w:eastAsia=""/>
          <w:b w:val="0"/>
          <w:i w:val="0"/>
          <w:color w:val="000000"/>
          <w:sz w:val="20"/>
        </w:rPr>
        <w:t xml:space="preserve">summary of the program </w:t>
      </w:r>
    </w:p>
    <w:tbl>
      <w:tblPr>
        <w:tblW w:type="auto" w:w="0"/>
        <w:tblLayout w:type="fixed"/>
        <w:tblLook w:firstColumn="1" w:firstRow="1" w:lastColumn="0" w:lastRow="0" w:noHBand="0" w:noVBand="1" w:val="04A0"/>
        <w:tblInd w:w="900.0" w:type="dxa"/>
      </w:tblPr>
      <w:tblGrid>
        <w:gridCol w:w="4680"/>
        <w:gridCol w:w="4680"/>
      </w:tblGrid>
      <w:tr>
        <w:trPr>
          <w:trHeight w:hRule="exact" w:val="3678"/>
        </w:trPr>
        <w:tc>
          <w:tcPr>
            <w:tcW w:type="dxa" w:w="1140"/>
            <w:tcBorders/>
            <w:shd w:fill="ffffff"/>
            <w:tcMar>
              <w:start w:w="0" w:type="dxa"/>
              <w:end w:w="0" w:type="dxa"/>
            </w:tcMar>
          </w:tcPr>
          <w:p>
            <w:pPr>
              <w:autoSpaceDN w:val="0"/>
              <w:autoSpaceDE w:val="0"/>
              <w:widowControl/>
              <w:spacing w:line="245" w:lineRule="auto" w:before="6" w:after="0"/>
              <w:ind w:left="900" w:right="114" w:firstLine="0"/>
              <w:jc w:val="both"/>
            </w:pP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p>
        </w:tc>
        <w:tc>
          <w:tcPr>
            <w:tcW w:type="dxa" w:w="9340"/>
            <w:tcBorders/>
            <w:shd w:fill="ffffff"/>
            <w:tcMar>
              <w:start w:w="0" w:type="dxa"/>
              <w:end w:w="0" w:type="dxa"/>
            </w:tcMar>
          </w:tcPr>
          <w:p>
            <w:pPr>
              <w:autoSpaceDN w:val="0"/>
              <w:autoSpaceDE w:val="0"/>
              <w:widowControl/>
              <w:spacing w:line="245" w:lineRule="auto" w:before="38" w:after="0"/>
              <w:ind w:left="120" w:right="720" w:firstLine="0"/>
              <w:jc w:val="left"/>
            </w:pPr>
            <w:r>
              <w:rPr>
                <w:rFonts w:ascii="" w:hAnsi="" w:eastAsia=""/>
                <w:b w:val="0"/>
                <w:i w:val="0"/>
                <w:color w:val="000000"/>
                <w:sz w:val="20"/>
              </w:rPr>
              <w:t xml:space="preserve">Alpha Everest Capital DSCR Plus Program is for investors seeking a business purpose, non-owner-occupied loan Borrowers will qualify with property income (Debt Service Coverage Ratio) Debt Service Coverage Ratio = Gross Rent/PITIA DSCR eligible at .75x or No Ratio No personal income to qualify Personal recourse required for all entity members owning 25% or more Max Loan Size of $3.0mm No more than two (2) loans in the pool shall be made to the same borrower/guarantor Max LTV of 80% Minimum FICO of 600 Reserve required subject to loan amount No requirement for additional reserves for other financed properties, Subject Property reserves only Cash Out can be used as reserves Housing history verified on subject property and borrower primary only The credit report must be dated no more than ninety (90) days prior to the note date; all other </w:t>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p>
        </w:tc>
      </w:tr>
    </w:tbl>
    <w:p>
      <w:pPr>
        <w:autoSpaceDN w:val="0"/>
        <w:autoSpaceDE w:val="0"/>
        <w:widowControl/>
        <w:spacing w:line="197" w:lineRule="auto" w:before="22" w:after="0"/>
        <w:ind w:left="2160" w:right="0" w:firstLine="0"/>
        <w:jc w:val="left"/>
      </w:pPr>
      <w:r>
        <w:rPr>
          <w:rFonts w:ascii="" w:hAnsi="" w:eastAsia=""/>
          <w:b w:val="0"/>
          <w:i w:val="0"/>
          <w:color w:val="000000"/>
          <w:sz w:val="20"/>
        </w:rPr>
        <w:t xml:space="preserve">documents must be dated no more than one hundred and twenty (120) days prior to the note date. </w:t>
      </w:r>
    </w:p>
    <w:p>
      <w:pPr>
        <w:autoSpaceDN w:val="0"/>
        <w:autoSpaceDE w:val="0"/>
        <w:widowControl/>
        <w:spacing w:line="197" w:lineRule="auto" w:before="314" w:after="232"/>
        <w:ind w:left="1590" w:right="0" w:firstLine="0"/>
        <w:jc w:val="left"/>
      </w:pPr>
      <w:r>
        <w:rPr>
          <w:rFonts w:ascii="" w:hAnsi="" w:eastAsia=""/>
          <w:b/>
          <w:i w:val="0"/>
          <w:color w:val="548DD4"/>
          <w:sz w:val="32"/>
        </w:rPr>
        <w:t>2.</w:t>
      </w:r>
      <w:r>
        <w:rPr>
          <w:rFonts w:ascii="" w:hAnsi="" w:eastAsia=""/>
          <w:b/>
          <w:i w:val="0"/>
          <w:color w:val="548DD4"/>
          <w:sz w:val="32"/>
        </w:rPr>
        <w:t>Product Types &amp; Eligibility</w:t>
      </w:r>
    </w:p>
    <w:tbl>
      <w:tblPr>
        <w:tblW w:type="auto" w:w="0"/>
        <w:tblLayout w:type="fixed"/>
        <w:tblLook w:firstColumn="1" w:firstRow="1" w:lastColumn="0" w:lastRow="0" w:noHBand="0" w:noVBand="1" w:val="04A0"/>
        <w:tblInd w:w="1450.0" w:type="dxa"/>
      </w:tblPr>
      <w:tblGrid>
        <w:gridCol w:w="1872"/>
        <w:gridCol w:w="1872"/>
        <w:gridCol w:w="1872"/>
        <w:gridCol w:w="1872"/>
        <w:gridCol w:w="1872"/>
      </w:tblGrid>
      <w:tr>
        <w:trPr>
          <w:trHeight w:hRule="exact" w:val="260"/>
        </w:trPr>
        <w:tc>
          <w:tcPr>
            <w:tcW w:type="dxa" w:w="15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i w:val="0"/>
                <w:color w:val="000000"/>
                <w:sz w:val="18"/>
              </w:rPr>
              <w:t xml:space="preserve">Product </w:t>
            </w:r>
          </w:p>
        </w:tc>
        <w:tc>
          <w:tcPr>
            <w:tcW w:type="dxa" w:w="98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i w:val="0"/>
                <w:color w:val="000000"/>
                <w:sz w:val="18"/>
              </w:rPr>
              <w:t xml:space="preserve">Term </w:t>
            </w:r>
          </w:p>
        </w:tc>
        <w:tc>
          <w:tcPr>
            <w:tcW w:type="dxa" w:w="15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i w:val="0"/>
                <w:color w:val="000000"/>
                <w:sz w:val="18"/>
              </w:rPr>
              <w:t xml:space="preserve">Amort. Term </w:t>
            </w:r>
          </w:p>
        </w:tc>
        <w:tc>
          <w:tcPr>
            <w:tcW w:type="dxa" w:w="28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i w:val="0"/>
                <w:color w:val="000000"/>
                <w:sz w:val="18"/>
              </w:rPr>
              <w:t xml:space="preserve">Index </w:t>
            </w:r>
          </w:p>
        </w:tc>
        <w:tc>
          <w:tcPr>
            <w:tcW w:type="dxa" w:w="25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i w:val="0"/>
                <w:color w:val="000000"/>
                <w:sz w:val="18"/>
              </w:rPr>
              <w:t xml:space="preserve">Caps </w:t>
            </w:r>
          </w:p>
        </w:tc>
      </w:tr>
      <w:tr>
        <w:trPr>
          <w:trHeight w:hRule="exact" w:val="240"/>
        </w:trPr>
        <w:tc>
          <w:tcPr>
            <w:tcW w:type="dxa" w:w="15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5/6 ARM </w:t>
            </w:r>
          </w:p>
        </w:tc>
        <w:tc>
          <w:tcPr>
            <w:tcW w:type="dxa" w:w="98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360 </w:t>
            </w:r>
          </w:p>
        </w:tc>
        <w:tc>
          <w:tcPr>
            <w:tcW w:type="dxa" w:w="15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360 </w:t>
            </w:r>
          </w:p>
        </w:tc>
        <w:tc>
          <w:tcPr>
            <w:tcW w:type="dxa" w:w="28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30 Day Average SOFR </w:t>
            </w:r>
          </w:p>
        </w:tc>
        <w:tc>
          <w:tcPr>
            <w:tcW w:type="dxa" w:w="25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2/1/5 </w:t>
            </w:r>
          </w:p>
        </w:tc>
      </w:tr>
      <w:tr>
        <w:trPr>
          <w:trHeight w:hRule="exact" w:val="220"/>
        </w:trPr>
        <w:tc>
          <w:tcPr>
            <w:tcW w:type="dxa" w:w="15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20" w:after="0"/>
              <w:ind w:left="0" w:right="0" w:firstLine="0"/>
              <w:jc w:val="center"/>
            </w:pPr>
            <w:r>
              <w:rPr>
                <w:rFonts w:ascii="" w:hAnsi="" w:eastAsia=""/>
                <w:b w:val="0"/>
                <w:i w:val="0"/>
                <w:color w:val="000000"/>
                <w:sz w:val="18"/>
              </w:rPr>
              <w:t xml:space="preserve">30 Yr. Fix </w:t>
            </w:r>
          </w:p>
        </w:tc>
        <w:tc>
          <w:tcPr>
            <w:tcW w:type="dxa" w:w="98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20" w:after="0"/>
              <w:ind w:left="0" w:right="0" w:firstLine="0"/>
              <w:jc w:val="center"/>
            </w:pPr>
            <w:r>
              <w:rPr>
                <w:rFonts w:ascii="" w:hAnsi="" w:eastAsia=""/>
                <w:b w:val="0"/>
                <w:i w:val="0"/>
                <w:color w:val="000000"/>
                <w:sz w:val="18"/>
              </w:rPr>
              <w:t xml:space="preserve">360 </w:t>
            </w:r>
          </w:p>
        </w:tc>
        <w:tc>
          <w:tcPr>
            <w:tcW w:type="dxa" w:w="15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20" w:after="0"/>
              <w:ind w:left="0" w:right="0" w:firstLine="0"/>
              <w:jc w:val="center"/>
            </w:pPr>
            <w:r>
              <w:rPr>
                <w:rFonts w:ascii="" w:hAnsi="" w:eastAsia=""/>
                <w:b w:val="0"/>
                <w:i w:val="0"/>
                <w:color w:val="000000"/>
                <w:sz w:val="18"/>
              </w:rPr>
              <w:t xml:space="preserve">360 </w:t>
            </w:r>
          </w:p>
        </w:tc>
        <w:tc>
          <w:tcPr>
            <w:tcW w:type="dxa" w:w="2840"/>
            <w:tcBorders>
              <w:start w:sz="8.0" w:val="single" w:color="#000000"/>
              <w:top w:sz="8.0" w:val="single" w:color="#000000"/>
              <w:end w:sz="8.0" w:val="single" w:color="#000000"/>
              <w:bottom w:sz="8.0" w:val="single" w:color="#000000"/>
            </w:tcBorders>
            <w:tcMar>
              <w:start w:w="0" w:type="dxa"/>
              <w:end w:w="0" w:type="dxa"/>
            </w:tcMar>
          </w:tcPr>
          <w:p/>
        </w:tc>
        <w:tc>
          <w:tcPr>
            <w:tcW w:type="dxa" w:w="2520"/>
            <w:tcBorders>
              <w:start w:sz="8.0" w:val="single" w:color="#000000"/>
              <w:top w:sz="8.0" w:val="single" w:color="#000000"/>
              <w:end w:sz="8.0" w:val="single" w:color="#000000"/>
              <w:bottom w:sz="8.0" w:val="single" w:color="#000000"/>
            </w:tcBorders>
            <w:tcMar>
              <w:start w:w="0" w:type="dxa"/>
              <w:end w:w="0" w:type="dxa"/>
            </w:tcMar>
          </w:tcPr>
          <w:p/>
        </w:tc>
      </w:tr>
    </w:tbl>
    <w:p>
      <w:pPr>
        <w:autoSpaceDN w:val="0"/>
        <w:tabs>
          <w:tab w:pos="1800" w:val="left"/>
          <w:tab w:pos="2160" w:val="left"/>
        </w:tabs>
        <w:autoSpaceDE w:val="0"/>
        <w:widowControl/>
        <w:spacing w:line="245" w:lineRule="auto" w:before="306" w:after="0"/>
        <w:ind w:left="1590" w:right="2592" w:firstLine="0"/>
        <w:jc w:val="left"/>
      </w:pPr>
      <w:r>
        <w:rPr>
          <w:rFonts w:ascii="" w:hAnsi="" w:eastAsia=""/>
          <w:b/>
          <w:i w:val="0"/>
          <w:color w:val="000000"/>
          <w:sz w:val="23"/>
        </w:rPr>
        <w:t xml:space="preserve">2.1 Adjustable-Rate Criteria </w:t>
      </w:r>
      <w:r>
        <w:br/>
      </w:r>
      <w:r>
        <w:tab/>
      </w:r>
      <w:r>
        <w:rPr>
          <w:rFonts w:ascii="" w:hAnsi="" w:eastAsia=""/>
          <w:b w:val="0"/>
          <w:i w:val="0"/>
          <w:color w:val="000000"/>
          <w:sz w:val="20"/>
        </w:rPr>
        <w:t>▪​</w:t>
      </w:r>
      <w:r>
        <w:tab/>
      </w:r>
      <w:r>
        <w:rPr>
          <w:rFonts w:ascii="" w:hAnsi="" w:eastAsia=""/>
          <w:b w:val="0"/>
          <w:i w:val="0"/>
          <w:color w:val="000000"/>
          <w:sz w:val="20"/>
        </w:rPr>
        <w:t xml:space="preserve">Please refer to the respective Program Matrix at the end of the Underwriting Guidelines for </w:t>
      </w:r>
    </w:p>
    <w:p>
      <w:pPr>
        <w:autoSpaceDN w:val="0"/>
        <w:tabs>
          <w:tab w:pos="2160" w:val="left"/>
        </w:tabs>
        <w:autoSpaceDE w:val="0"/>
        <w:widowControl/>
        <w:spacing w:line="245" w:lineRule="auto" w:before="44" w:after="0"/>
        <w:ind w:left="1800" w:right="4032" w:firstLine="0"/>
        <w:jc w:val="left"/>
      </w:pPr>
      <w:r>
        <w:tab/>
      </w:r>
      <w:r>
        <w:rPr>
          <w:rFonts w:ascii="" w:hAnsi="" w:eastAsia=""/>
          <w:b w:val="0"/>
          <w:i w:val="0"/>
          <w:color w:val="000000"/>
          <w:sz w:val="20"/>
        </w:rPr>
        <w:t xml:space="preserve">adjustable-rate criteria (caps, floors, margins, etc.) </w:t>
      </w:r>
      <w:r>
        <w:br/>
      </w:r>
      <w:r>
        <w:rPr>
          <w:rFonts w:ascii="" w:hAnsi="" w:eastAsia=""/>
          <w:b w:val="0"/>
          <w:i w:val="0"/>
          <w:color w:val="000000"/>
          <w:sz w:val="20"/>
        </w:rPr>
        <w:t>▪​</w:t>
      </w:r>
      <w:r>
        <w:tab/>
      </w:r>
      <w:r>
        <w:rPr>
          <w:rFonts w:ascii="" w:hAnsi="" w:eastAsia=""/>
          <w:b w:val="0"/>
          <w:i w:val="0"/>
          <w:color w:val="000000"/>
          <w:sz w:val="20"/>
        </w:rPr>
        <w:t>ARM floor is the greater of the loan’s initial rate</w:t>
      </w:r>
      <w:r>
        <w:rPr>
          <w:rFonts w:ascii="" w:hAnsi="" w:eastAsia=""/>
          <w:b w:val="0"/>
          <w:i w:val="0"/>
          <w:color w:val="000000"/>
          <w:sz w:val="20"/>
        </w:rPr>
        <w:t xml:space="preserve">or margin </w:t>
      </w:r>
      <w:r>
        <w:br/>
      </w:r>
      <w:r>
        <w:rPr>
          <w:rFonts w:ascii="" w:hAnsi="" w:eastAsia=""/>
          <w:b w:val="0"/>
          <w:i w:val="0"/>
          <w:color w:val="000000"/>
          <w:sz w:val="20"/>
        </w:rPr>
        <w:t>▪​</w:t>
      </w:r>
      <w:r>
        <w:tab/>
      </w:r>
      <w:r>
        <w:rPr>
          <w:rFonts w:ascii="" w:hAnsi="" w:eastAsia=""/>
          <w:b w:val="0"/>
          <w:i w:val="0"/>
          <w:color w:val="000000"/>
          <w:sz w:val="20"/>
        </w:rPr>
        <w:t xml:space="preserve">30 Day Average SOFR Index as published by the New York Federal Reserve </w:t>
      </w:r>
      <w:r>
        <w:rPr>
          <w:rFonts w:ascii="" w:hAnsi="" w:eastAsia=""/>
          <w:b w:val="0"/>
          <w:i w:val="0"/>
          <w:color w:val="000000"/>
          <w:sz w:val="20"/>
        </w:rPr>
        <w:t>▪​</w:t>
      </w:r>
      <w:r>
        <w:tab/>
      </w:r>
      <w:r>
        <w:rPr>
          <w:rFonts w:ascii="" w:hAnsi="" w:eastAsia=""/>
          <w:b w:val="0"/>
          <w:i w:val="0"/>
          <w:color w:val="000000"/>
          <w:sz w:val="20"/>
        </w:rPr>
        <w:t xml:space="preserve">Reset Period on ARMs will occur every six months after the initial reset </w:t>
      </w:r>
    </w:p>
    <w:p>
      <w:pPr>
        <w:autoSpaceDN w:val="0"/>
        <w:tabs>
          <w:tab w:pos="1800" w:val="left"/>
          <w:tab w:pos="2160" w:val="left"/>
          <w:tab w:pos="2520" w:val="left"/>
        </w:tabs>
        <w:autoSpaceDE w:val="0"/>
        <w:widowControl/>
        <w:spacing w:line="245" w:lineRule="auto" w:before="294" w:after="0"/>
        <w:ind w:left="1590" w:right="2592" w:firstLine="0"/>
        <w:jc w:val="left"/>
      </w:pPr>
      <w:r>
        <w:rPr>
          <w:rFonts w:ascii="" w:hAnsi="" w:eastAsia=""/>
          <w:b/>
          <w:i w:val="0"/>
          <w:color w:val="000000"/>
          <w:sz w:val="23"/>
        </w:rPr>
        <w:t xml:space="preserve">2.2 Derogatory Housing History ▪​Derogatory Housing Events: –​Alpha Everest Capital defines Housing Events as Foreclosures, Short Sale, Deed in Lieu, Default </w:t>
      </w:r>
      <w:r>
        <w:br/>
      </w:r>
      <w:r>
        <w:tab/>
      </w:r>
      <w:r>
        <w:rPr>
          <w:rFonts w:ascii="" w:hAnsi="" w:eastAsia=""/>
          <w:b w:val="0"/>
          <w:i w:val="0"/>
          <w:color w:val="000000"/>
          <w:sz w:val="20"/>
        </w:rPr>
        <w:t/>
      </w:r>
      <w:r>
        <w:tab/>
      </w:r>
      <w:r>
        <w:rPr>
          <w:rFonts w:ascii="" w:hAnsi="" w:eastAsia=""/>
          <w:b w:val="0"/>
          <w:i w:val="0"/>
          <w:color w:val="000000"/>
          <w:sz w:val="20"/>
        </w:rPr>
        <w:t xml:space="preserve"/>
      </w:r>
      <w:r>
        <w:br/>
      </w:r>
      <w:r>
        <w:tab/>
      </w:r>
      <w:r>
        <w:tab/>
      </w:r>
      <w:r>
        <w:rPr>
          <w:rFonts w:ascii="" w:hAnsi="" w:eastAsia=""/>
          <w:b w:val="0"/>
          <w:i w:val="0"/>
          <w:color w:val="000000"/>
          <w:sz w:val="20"/>
        </w:rPr>
        <w:t/>
      </w:r>
      <w:r>
        <w:rPr>
          <w:rFonts w:ascii="" w:hAnsi="" w:eastAsia=""/>
          <w:b w:val="0"/>
          <w:i w:val="0"/>
          <w:color w:val="000000"/>
          <w:sz w:val="20"/>
        </w:rPr>
        <w:t/>
      </w:r>
      <w:r>
        <w:tab/>
      </w:r>
      <w:r>
        <w:rPr>
          <w:rFonts w:ascii="" w:hAnsi="" w:eastAsia=""/>
          <w:b w:val="0"/>
          <w:i w:val="0"/>
          <w:color w:val="000000"/>
          <w:sz w:val="20"/>
        </w:rPr>
        <w:t xml:space="preserve"/>
      </w:r>
    </w:p>
    <w:p>
      <w:pPr>
        <w:autoSpaceDN w:val="0"/>
        <w:tabs>
          <w:tab w:pos="2520" w:val="left"/>
        </w:tabs>
        <w:autoSpaceDE w:val="0"/>
        <w:widowControl/>
        <w:spacing w:line="245" w:lineRule="auto" w:before="44" w:after="0"/>
        <w:ind w:left="2160" w:right="2016" w:firstLine="0"/>
        <w:jc w:val="left"/>
      </w:pPr>
      <w:r>
        <w:tab/>
      </w:r>
      <w:r>
        <w:rPr>
          <w:rFonts w:ascii="" w:hAnsi="" w:eastAsia=""/>
          <w:b w:val="0"/>
          <w:i w:val="0"/>
          <w:color w:val="000000"/>
          <w:sz w:val="20"/>
        </w:rPr>
        <w:t xml:space="preserve">Modification, Notice of Default, or 120+ Days Delinquent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Bankruptcies are considered Housing Events, inclusive of Chapter 7, 11, and 13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Defaulted first and second mortgages on same property are considered one (1) event </w:t>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Events include all occupancy types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Seasoning lookback is from the date of discharge/dismissal or property resolution (completion </w:t>
      </w:r>
    </w:p>
    <w:p>
      <w:pPr>
        <w:autoSpaceDN w:val="0"/>
        <w:autoSpaceDE w:val="0"/>
        <w:widowControl/>
        <w:spacing w:line="197" w:lineRule="auto" w:before="44" w:after="6"/>
        <w:ind w:left="2520" w:right="0" w:firstLine="0"/>
        <w:jc w:val="left"/>
      </w:pPr>
      <w:r>
        <w:rPr>
          <w:rFonts w:ascii="" w:hAnsi="" w:eastAsia=""/>
          <w:b w:val="0"/>
          <w:i w:val="0"/>
          <w:color w:val="000000"/>
          <w:sz w:val="20"/>
        </w:rPr>
        <w:t xml:space="preserve">date), as of the note date </w:t>
      </w:r>
    </w:p>
    <w:tbl>
      <w:tblPr>
        <w:tblW w:type="auto" w:w="0"/>
        <w:tblLayout w:type="fixed"/>
        <w:tblLook w:firstColumn="1" w:firstRow="1" w:lastColumn="0" w:lastRow="0" w:noHBand="0" w:noVBand="1" w:val="04A0"/>
        <w:tblInd w:w="900.0" w:type="dxa"/>
      </w:tblPr>
      <w:tblGrid>
        <w:gridCol w:w="3120"/>
        <w:gridCol w:w="3120"/>
        <w:gridCol w:w="3120"/>
      </w:tblGrid>
      <w:tr>
        <w:trPr>
          <w:trHeight w:hRule="exact" w:val="258"/>
        </w:trPr>
        <w:tc>
          <w:tcPr>
            <w:tcW w:type="dxa" w:w="1140"/>
            <w:vMerge w:val="restart"/>
            <w:tcBorders/>
            <w:shd w:fill="ffffff"/>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21" w:lineRule="auto" w:before="250" w:after="0"/>
              <w:ind w:left="0" w:right="114" w:firstLine="0"/>
              <w:jc w:val="right"/>
            </w:pPr>
            <w:r>
              <w:rPr>
                <w:rFonts w:ascii="" w:hAnsi="" w:eastAsia=""/>
                <w:b w:val="0"/>
                <w:i w:val="0"/>
                <w:color w:val="000000"/>
                <w:sz w:val="20"/>
              </w:rPr>
              <w:t>▪​</w:t>
            </w:r>
          </w:p>
          <w:p>
            <w:pPr>
              <w:autoSpaceDN w:val="0"/>
              <w:autoSpaceDE w:val="0"/>
              <w:widowControl/>
              <w:spacing w:line="218" w:lineRule="auto" w:before="998" w:after="0"/>
              <w:ind w:left="0" w:right="114" w:firstLine="0"/>
              <w:jc w:val="right"/>
            </w:pPr>
            <w:r>
              <w:rPr>
                <w:rFonts w:ascii="" w:hAnsi="" w:eastAsia=""/>
                <w:b w:val="0"/>
                <w:i w:val="0"/>
                <w:color w:val="000000"/>
                <w:sz w:val="20"/>
              </w:rPr>
              <w:t>▪​</w:t>
            </w:r>
          </w:p>
        </w:tc>
        <w:tc>
          <w:tcPr>
            <w:tcW w:type="dxa" w:w="360"/>
            <w:tcBorders/>
            <w:shd w:fill="ffffff"/>
            <w:tcMar>
              <w:start w:w="0" w:type="dxa"/>
              <w:end w:w="0" w:type="dxa"/>
            </w:tcMar>
          </w:tcPr>
          <w:p>
            <w:pPr>
              <w:autoSpaceDN w:val="0"/>
              <w:autoSpaceDE w:val="0"/>
              <w:widowControl/>
              <w:spacing w:line="228" w:lineRule="auto" w:before="6"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560"/>
            <w:tcBorders/>
            <w:shd w:fill="ffffff"/>
            <w:tcMar>
              <w:start w:w="0" w:type="dxa"/>
              <w:end w:w="0" w:type="dxa"/>
            </w:tcMar>
          </w:tcPr>
          <w:p>
            <w:pPr>
              <w:autoSpaceDN w:val="0"/>
              <w:autoSpaceDE w:val="0"/>
              <w:widowControl/>
              <w:spacing w:line="197" w:lineRule="auto" w:before="38" w:after="0"/>
              <w:ind w:left="120" w:right="0" w:firstLine="0"/>
              <w:jc w:val="left"/>
            </w:pPr>
            <w:r>
              <w:rPr>
                <w:rFonts w:ascii="" w:hAnsi="" w:eastAsia=""/>
                <w:b w:val="0"/>
                <w:i w:val="0"/>
                <w:color w:val="000000"/>
                <w:sz w:val="20"/>
              </w:rPr>
              <w:t xml:space="preserve">Modification look back commences at inception (when loan was permanently modified) </w:t>
            </w:r>
          </w:p>
        </w:tc>
      </w:tr>
      <w:tr>
        <w:trPr>
          <w:trHeight w:hRule="exact" w:val="220"/>
        </w:trPr>
        <w:tc>
          <w:tcPr>
            <w:tcW w:type="dxa" w:w="3120"/>
            <w:vMerge/>
            <w:tcBorders/>
          </w:tcPr>
          <w:p/>
        </w:tc>
        <w:tc>
          <w:tcPr>
            <w:tcW w:type="dxa" w:w="8920"/>
            <w:gridSpan w:val="2"/>
            <w:tcBorders/>
            <w:shd w:fill="ffffff"/>
            <w:tcMar>
              <w:start w:w="0" w:type="dxa"/>
              <w:end w:w="0" w:type="dxa"/>
            </w:tcMar>
            <w:tcMar>
              <w:start w:w="0" w:type="dxa"/>
              <w:end w:w="0" w:type="dxa"/>
            </w:tcMar>
          </w:tcPr>
          <w:p>
            <w:pPr>
              <w:autoSpaceDN w:val="0"/>
              <w:autoSpaceDE w:val="0"/>
              <w:widowControl/>
              <w:spacing w:line="197" w:lineRule="auto" w:before="20" w:after="0"/>
              <w:ind w:left="120" w:right="0" w:firstLine="0"/>
              <w:jc w:val="left"/>
            </w:pPr>
            <w:r>
              <w:rPr>
                <w:rFonts w:ascii="" w:hAnsi="" w:eastAsia=""/>
                <w:b w:val="0"/>
                <w:i w:val="0"/>
                <w:color w:val="000000"/>
                <w:sz w:val="20"/>
              </w:rPr>
              <w:t xml:space="preserve">Derogatory Housing Event Seasoning: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56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Foreclosure: three (3) years from completion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56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Short Sale: three (3) years from completion </w:t>
            </w:r>
          </w:p>
        </w:tc>
      </w:tr>
      <w:tr>
        <w:trPr>
          <w:trHeight w:hRule="exact" w:val="26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26"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560"/>
            <w:tcBorders/>
            <w:shd w:fill="ffffff"/>
            <w:tcMar>
              <w:start w:w="0" w:type="dxa"/>
              <w:end w:w="0" w:type="dxa"/>
            </w:tcMar>
          </w:tcPr>
          <w:p>
            <w:pPr>
              <w:autoSpaceDN w:val="0"/>
              <w:autoSpaceDE w:val="0"/>
              <w:widowControl/>
              <w:spacing w:line="197" w:lineRule="auto" w:before="56" w:after="0"/>
              <w:ind w:left="120" w:right="0" w:firstLine="0"/>
              <w:jc w:val="left"/>
            </w:pPr>
            <w:r>
              <w:rPr>
                <w:rFonts w:ascii="" w:hAnsi="" w:eastAsia=""/>
                <w:b w:val="0"/>
                <w:i w:val="0"/>
                <w:color w:val="000000"/>
                <w:sz w:val="20"/>
              </w:rPr>
              <w:t xml:space="preserve">Deed-in-Lieu: three (3) years from completion </w:t>
            </w:r>
          </w:p>
        </w:tc>
      </w:tr>
      <w:tr>
        <w:trPr>
          <w:trHeight w:hRule="exact" w:val="26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10"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56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Bankruptcy: four (4) years from discharge </w:t>
            </w:r>
          </w:p>
        </w:tc>
      </w:tr>
      <w:tr>
        <w:trPr>
          <w:trHeight w:hRule="exact" w:val="284"/>
        </w:trPr>
        <w:tc>
          <w:tcPr>
            <w:tcW w:type="dxa" w:w="3120"/>
            <w:vMerge/>
            <w:tcBorders/>
          </w:tcPr>
          <w:p/>
        </w:tc>
        <w:tc>
          <w:tcPr>
            <w:tcW w:type="dxa" w:w="8920"/>
            <w:gridSpan w:val="2"/>
            <w:tcBorders/>
            <w:shd w:fill="ffffff"/>
            <w:tcMar>
              <w:start w:w="0" w:type="dxa"/>
              <w:end w:w="0" w:type="dxa"/>
            </w:tcMar>
            <w:tcMar>
              <w:start w:w="0" w:type="dxa"/>
              <w:end w:w="0" w:type="dxa"/>
            </w:tcMar>
          </w:tcPr>
          <w:p>
            <w:pPr>
              <w:autoSpaceDN w:val="0"/>
              <w:autoSpaceDE w:val="0"/>
              <w:widowControl/>
              <w:spacing w:line="197" w:lineRule="auto" w:before="24" w:after="0"/>
              <w:ind w:left="120" w:right="0" w:firstLine="0"/>
              <w:jc w:val="left"/>
            </w:pPr>
            <w:r>
              <w:rPr>
                <w:rFonts w:ascii="" w:hAnsi="" w:eastAsia=""/>
                <w:b w:val="0"/>
                <w:i w:val="0"/>
                <w:color w:val="000000"/>
                <w:sz w:val="20"/>
              </w:rPr>
              <w:t xml:space="preserve">Housing History (all occupancy types) </w:t>
            </w:r>
          </w:p>
        </w:tc>
      </w:tr>
    </w:tbl>
    <w:p>
      <w:pPr>
        <w:autoSpaceDN w:val="0"/>
        <w:autoSpaceDE w:val="0"/>
        <w:widowControl/>
        <w:spacing w:line="218" w:lineRule="auto" w:before="638" w:after="0"/>
        <w:ind w:left="0" w:right="0" w:firstLine="0"/>
        <w:jc w:val="center"/>
      </w:pPr>
      <w:r>
        <w:rPr>
          <w:rFonts w:ascii="" w:hAnsi="" w:eastAsia=""/>
          <w:b w:val="0"/>
          <w:i w:val="0"/>
          <w:color w:val="4F81BD"/>
          <w:sz w:val="22"/>
        </w:rPr>
        <w:t xml:space="preserve">2 </w:t>
      </w:r>
    </w:p>
    <w:p>
      <w:pPr>
        <w:sectPr>
          <w:pgSz w:w="12240" w:h="15840"/>
          <w:pgMar w:top="0" w:right="0" w:bottom="0" w:left="0" w:header="720" w:footer="720" w:gutter="0"/>
          <w:cols/>
          <w:docGrid w:linePitch="360"/>
        </w:sectPr>
      </w:pPr>
    </w:p>
    <w:p>
      <w:pPr>
        <w:autoSpaceDN w:val="0"/>
        <w:autoSpaceDE w:val="0"/>
        <w:widowControl/>
        <w:spacing w:line="1394" w:lineRule="exact" w:before="0" w:after="0"/>
        <w:ind w:left="0" w:right="0"/>
      </w:pPr>
    </w:p>
    <w:tbl>
      <w:tblPr>
        <w:tblW w:type="auto" w:w="0"/>
        <w:tblLayout w:type="fixed"/>
        <w:tblLook w:firstColumn="1" w:firstRow="1" w:lastColumn="0" w:lastRow="0" w:noHBand="0" w:noVBand="1" w:val="04A0"/>
        <w:tblInd w:w="1080.0" w:type="dxa"/>
      </w:tblPr>
      <w:tblGrid>
        <w:gridCol w:w="4680"/>
        <w:gridCol w:w="4680"/>
      </w:tblGrid>
      <w:tr>
        <w:trPr>
          <w:trHeight w:hRule="exact" w:val="1082"/>
        </w:trPr>
        <w:tc>
          <w:tcPr>
            <w:tcW w:type="dxa" w:w="1320"/>
            <w:tcBorders/>
            <w:shd w:fill="ffffff"/>
            <w:tcMar>
              <w:start w:w="0" w:type="dxa"/>
              <w:end w:w="0" w:type="dxa"/>
            </w:tcMar>
          </w:tcPr>
          <w:p>
            <w:pPr>
              <w:autoSpaceDN w:val="0"/>
              <w:autoSpaceDE w:val="0"/>
              <w:widowControl/>
              <w:spacing w:line="245" w:lineRule="auto" w:before="60" w:after="0"/>
              <w:ind w:left="1080" w:right="84" w:firstLine="0"/>
              <w:jc w:val="both"/>
            </w:pP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p>
        </w:tc>
        <w:tc>
          <w:tcPr>
            <w:tcW w:type="dxa" w:w="8740"/>
            <w:tcBorders/>
            <w:shd w:fill="ffffff"/>
            <w:tcMar>
              <w:start w:w="0" w:type="dxa"/>
              <w:end w:w="0" w:type="dxa"/>
            </w:tcMar>
          </w:tcPr>
          <w:p>
            <w:pPr>
              <w:autoSpaceDN w:val="0"/>
              <w:autoSpaceDE w:val="0"/>
              <w:widowControl/>
              <w:spacing w:line="245" w:lineRule="auto" w:before="90" w:after="0"/>
              <w:ind w:left="120" w:right="1008" w:firstLine="0"/>
              <w:jc w:val="left"/>
            </w:pPr>
            <w:r>
              <w:rPr>
                <w:rFonts w:ascii="" w:hAnsi="" w:eastAsia=""/>
                <w:b w:val="0"/>
                <w:i w:val="0"/>
                <w:color w:val="000000"/>
                <w:sz w:val="20"/>
              </w:rPr>
              <w:t xml:space="preserve">Twelve (12) month mortgage/housing history required </w:t>
            </w:r>
            <w:r>
              <w:br/>
            </w:r>
            <w:r>
              <w:rPr>
                <w:rFonts w:ascii="" w:hAnsi="" w:eastAsia=""/>
                <w:b w:val="0"/>
                <w:i w:val="0"/>
                <w:color w:val="000000"/>
                <w:sz w:val="20"/>
              </w:rPr>
              <w:t xml:space="preserve">0 x 30 in the most recent twelve (12) months </w:t>
            </w:r>
            <w:r>
              <w:br/>
            </w:r>
            <w:r>
              <w:rPr>
                <w:rFonts w:ascii="" w:hAnsi="" w:eastAsia=""/>
                <w:b w:val="0"/>
                <w:i w:val="0"/>
                <w:color w:val="000000"/>
                <w:sz w:val="20"/>
              </w:rPr>
              <w:t xml:space="preserve">Maximum 1 x 30 within thirty-six (36) months (with compensating factors and LTV reduction) </w:t>
            </w:r>
            <w:r>
              <w:rPr>
                <w:rFonts w:ascii="" w:hAnsi="" w:eastAsia=""/>
                <w:b w:val="0"/>
                <w:i w:val="0"/>
                <w:color w:val="000000"/>
                <w:sz w:val="20"/>
              </w:rPr>
              <w:t xml:space="preserve">0 x 60 in the most recent thirty-six (36) months </w:t>
            </w:r>
          </w:p>
        </w:tc>
      </w:tr>
    </w:tbl>
    <w:p>
      <w:pPr>
        <w:autoSpaceDN w:val="0"/>
        <w:tabs>
          <w:tab w:pos="1800" w:val="left"/>
          <w:tab w:pos="2160" w:val="left"/>
          <w:tab w:pos="2520" w:val="left"/>
        </w:tabs>
        <w:autoSpaceDE w:val="0"/>
        <w:widowControl/>
        <w:spacing w:line="245" w:lineRule="auto" w:before="236" w:after="0"/>
        <w:ind w:left="1590" w:right="2448" w:firstLine="0"/>
        <w:jc w:val="left"/>
      </w:pPr>
      <w:r>
        <w:rPr>
          <w:rFonts w:ascii="" w:hAnsi="" w:eastAsia=""/>
          <w:b/>
          <w:i w:val="0"/>
          <w:color w:val="000000"/>
          <w:sz w:val="23"/>
        </w:rPr>
        <w:t>2.3 Geography</w:t>
      </w:r>
      <w:r>
        <w:br/>
      </w:r>
      <w:r>
        <w:tab/>
      </w:r>
      <w:r>
        <w:rPr>
          <w:rFonts w:ascii="" w:hAnsi="" w:eastAsia=""/>
          <w:b w:val="0"/>
          <w:i w:val="0"/>
          <w:color w:val="000000"/>
          <w:sz w:val="20"/>
        </w:rPr>
        <w:t>▪​</w:t>
      </w:r>
      <w:r>
        <w:tab/>
      </w:r>
      <w:r>
        <w:rPr>
          <w:rFonts w:ascii="" w:hAnsi="" w:eastAsia=""/>
          <w:b w:val="0"/>
          <w:i w:val="0"/>
          <w:color w:val="000000"/>
          <w:sz w:val="20"/>
        </w:rPr>
        <w:t xml:space="preserve">The following US commonwealth and territories are not eligible for submitting </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Puerto Rico, Guam, American Samoa, Northern Marina Islands and the U.S. Virgin Islands </w:t>
      </w:r>
    </w:p>
    <w:p>
      <w:pPr>
        <w:autoSpaceDN w:val="0"/>
        <w:tabs>
          <w:tab w:pos="1800" w:val="left"/>
          <w:tab w:pos="2160" w:val="left"/>
        </w:tabs>
        <w:autoSpaceDE w:val="0"/>
        <w:widowControl/>
        <w:spacing w:line="245" w:lineRule="auto" w:before="294" w:after="0"/>
        <w:ind w:left="1590" w:right="7920" w:firstLine="0"/>
        <w:jc w:val="left"/>
      </w:pPr>
      <w:r>
        <w:rPr>
          <w:rFonts w:ascii="" w:hAnsi="" w:eastAsia=""/>
          <w:b/>
          <w:i w:val="0"/>
          <w:color w:val="000000"/>
          <w:sz w:val="23"/>
        </w:rPr>
        <w:t xml:space="preserve">2.4 Minimum Loan Amount </w:t>
      </w:r>
      <w:r>
        <w:br/>
      </w:r>
      <w:r>
        <w:tab/>
      </w:r>
      <w:r>
        <w:rPr>
          <w:rFonts w:ascii="" w:hAnsi="" w:eastAsia=""/>
          <w:b w:val="0"/>
          <w:i w:val="0"/>
          <w:color w:val="000000"/>
          <w:sz w:val="20"/>
        </w:rPr>
        <w:t>▪​</w:t>
      </w:r>
      <w:r>
        <w:tab/>
      </w:r>
      <w:r>
        <w:rPr>
          <w:rFonts w:ascii="" w:hAnsi="" w:eastAsia=""/>
          <w:b w:val="0"/>
          <w:i w:val="0"/>
          <w:color w:val="000000"/>
          <w:sz w:val="20"/>
        </w:rPr>
        <w:t xml:space="preserve">$100K </w:t>
      </w:r>
    </w:p>
    <w:p>
      <w:pPr>
        <w:autoSpaceDN w:val="0"/>
        <w:tabs>
          <w:tab w:pos="1800" w:val="left"/>
          <w:tab w:pos="2160" w:val="left"/>
        </w:tabs>
        <w:autoSpaceDE w:val="0"/>
        <w:widowControl/>
        <w:spacing w:line="245" w:lineRule="auto" w:before="296" w:after="0"/>
        <w:ind w:left="1590" w:right="4320" w:firstLine="0"/>
        <w:jc w:val="left"/>
      </w:pPr>
      <w:r>
        <w:rPr>
          <w:rFonts w:ascii="" w:hAnsi="" w:eastAsia=""/>
          <w:b/>
          <w:i w:val="0"/>
          <w:color w:val="000000"/>
          <w:sz w:val="23"/>
        </w:rPr>
        <w:t xml:space="preserve">2.5 Cash-Out Limits </w:t>
      </w:r>
      <w:r>
        <w:br/>
      </w:r>
      <w:r>
        <w:tab/>
      </w:r>
      <w:r>
        <w:rPr>
          <w:rFonts w:ascii="" w:hAnsi="" w:eastAsia=""/>
          <w:b w:val="0"/>
          <w:i w:val="0"/>
          <w:color w:val="000000"/>
          <w:sz w:val="20"/>
        </w:rPr>
        <w:t>▪​</w:t>
      </w:r>
      <w:r>
        <w:tab/>
      </w:r>
      <w:r>
        <w:rPr>
          <w:rFonts w:ascii="" w:hAnsi="" w:eastAsia=""/>
          <w:b w:val="0"/>
          <w:i w:val="0"/>
          <w:color w:val="000000"/>
          <w:sz w:val="20"/>
        </w:rPr>
        <w:t xml:space="preserve">Maximum cash in hand $500,000 if LTV &gt; 65%; unlimited if LTV </w:t>
      </w:r>
      <w:r>
        <w:rPr>
          <w:rFonts w:ascii="" w:hAnsi="" w:eastAsia=""/>
          <w:b w:val="0"/>
          <w:i w:val="0"/>
          <w:color w:val="000000"/>
          <w:sz w:val="20"/>
        </w:rPr>
        <w:t>≤</w:t>
      </w:r>
      <w:r>
        <w:rPr>
          <w:rFonts w:ascii="" w:hAnsi="" w:eastAsia=""/>
          <w:b w:val="0"/>
          <w:i w:val="0"/>
          <w:color w:val="000000"/>
          <w:sz w:val="20"/>
        </w:rPr>
        <w:t xml:space="preserve"> 65% </w:t>
      </w:r>
    </w:p>
    <w:p>
      <w:pPr>
        <w:autoSpaceDN w:val="0"/>
        <w:tabs>
          <w:tab w:pos="1800" w:val="left"/>
          <w:tab w:pos="2160" w:val="left"/>
        </w:tabs>
        <w:autoSpaceDE w:val="0"/>
        <w:widowControl/>
        <w:spacing w:line="245" w:lineRule="auto" w:before="294" w:after="0"/>
        <w:ind w:left="1590" w:right="1728" w:firstLine="0"/>
        <w:jc w:val="left"/>
      </w:pPr>
      <w:r>
        <w:rPr>
          <w:rFonts w:ascii="" w:hAnsi="" w:eastAsia=""/>
          <w:b/>
          <w:i w:val="0"/>
          <w:color w:val="000000"/>
          <w:sz w:val="23"/>
        </w:rPr>
        <w:t xml:space="preserve">2.6 Prepayment Penalties </w:t>
      </w:r>
      <w:r>
        <w:br/>
      </w:r>
      <w:r>
        <w:tab/>
      </w:r>
      <w:r>
        <w:rPr>
          <w:rFonts w:ascii="" w:hAnsi="" w:eastAsia=""/>
          <w:b w:val="0"/>
          <w:i w:val="0"/>
          <w:color w:val="000000"/>
          <w:sz w:val="20"/>
        </w:rPr>
        <w:t>▪​</w:t>
      </w:r>
      <w:r>
        <w:tab/>
      </w:r>
      <w:r>
        <w:rPr>
          <w:rFonts w:ascii="" w:hAnsi="" w:eastAsia=""/>
          <w:b w:val="0"/>
          <w:i w:val="0"/>
          <w:color w:val="000000"/>
          <w:sz w:val="20"/>
        </w:rPr>
        <w:t xml:space="preserve">Prepayment penalties are permitted only where allowed by applicable state and law. Total points, fees </w:t>
      </w:r>
    </w:p>
    <w:p>
      <w:pPr>
        <w:autoSpaceDN w:val="0"/>
        <w:autoSpaceDE w:val="0"/>
        <w:widowControl/>
        <w:spacing w:line="197" w:lineRule="auto" w:before="46" w:after="0"/>
        <w:ind w:left="2160" w:right="0" w:firstLine="0"/>
        <w:jc w:val="left"/>
      </w:pPr>
      <w:r>
        <w:rPr>
          <w:rFonts w:ascii="" w:hAnsi="" w:eastAsia=""/>
          <w:b w:val="0"/>
          <w:i w:val="0"/>
          <w:color w:val="000000"/>
          <w:sz w:val="20"/>
        </w:rPr>
        <w:t xml:space="preserve">and APR may not exceed current state and federal high-cost thresholds.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Permitted PPP term: twelve (12) months to sixty (60) months.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Available PPP structures: declining, 5% fixed. 3% fixed, or six (6) months’ interest.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No prepayment penalty permitted: Alaska, New Mexico, and Rhode Island. </w:t>
      </w:r>
    </w:p>
    <w:p>
      <w:pPr>
        <w:autoSpaceDN w:val="0"/>
        <w:tabs>
          <w:tab w:pos="1800" w:val="left"/>
          <w:tab w:pos="2160" w:val="left"/>
        </w:tabs>
        <w:autoSpaceDE w:val="0"/>
        <w:widowControl/>
        <w:spacing w:line="245" w:lineRule="auto" w:before="294" w:after="0"/>
        <w:ind w:left="1590" w:right="1584" w:firstLine="0"/>
        <w:jc w:val="left"/>
      </w:pPr>
      <w:r>
        <w:rPr>
          <w:rFonts w:ascii="" w:hAnsi="" w:eastAsia=""/>
          <w:b/>
          <w:i w:val="0"/>
          <w:color w:val="000000"/>
          <w:sz w:val="23"/>
        </w:rPr>
        <w:t xml:space="preserve">2.7 Reserves ▪​Alpha Everest Capital does not take loans defined as high-cost mortgages under Federal or state law, regardless </w:t>
      </w:r>
      <w:r>
        <w:br/>
      </w:r>
      <w:r>
        <w:tab/>
      </w:r>
      <w:r>
        <w:rPr>
          <w:rFonts w:ascii="" w:hAnsi="" w:eastAsia=""/>
          <w:b w:val="0"/>
          <w:i w:val="0"/>
          <w:color w:val="000000"/>
          <w:sz w:val="20"/>
        </w:rPr>
        <w:t/>
      </w:r>
      <w:r>
        <w:tab/>
      </w:r>
      <w:r>
        <w:rPr>
          <w:rFonts w:ascii="" w:hAnsi="" w:eastAsia=""/>
          <w:b w:val="0"/>
          <w:i w:val="0"/>
          <w:color w:val="000000"/>
          <w:sz w:val="20"/>
        </w:rPr>
        <w:t xml:space="preserve"/>
      </w:r>
    </w:p>
    <w:p>
      <w:pPr>
        <w:autoSpaceDN w:val="0"/>
        <w:autoSpaceDE w:val="0"/>
        <w:widowControl/>
        <w:spacing w:line="197" w:lineRule="auto" w:before="44" w:after="6"/>
        <w:ind w:left="2160" w:right="0" w:firstLine="0"/>
        <w:jc w:val="left"/>
      </w:pPr>
      <w:r>
        <w:rPr>
          <w:rFonts w:ascii="" w:hAnsi="" w:eastAsia=""/>
          <w:b w:val="0"/>
          <w:i w:val="0"/>
          <w:color w:val="000000"/>
          <w:sz w:val="20"/>
        </w:rPr>
        <w:t xml:space="preserve">of the basis for the loan’s treatment as such </w:t>
      </w:r>
    </w:p>
    <w:tbl>
      <w:tblPr>
        <w:tblW w:type="auto" w:w="0"/>
        <w:tblLayout w:type="fixed"/>
        <w:tblLook w:firstColumn="1" w:firstRow="1" w:lastColumn="0" w:lastRow="0" w:noHBand="0" w:noVBand="1" w:val="04A0"/>
        <w:tblInd w:w="900.0" w:type="dxa"/>
      </w:tblPr>
      <w:tblGrid>
        <w:gridCol w:w="3120"/>
        <w:gridCol w:w="3120"/>
        <w:gridCol w:w="3120"/>
      </w:tblGrid>
      <w:tr>
        <w:trPr>
          <w:trHeight w:hRule="exact" w:val="488"/>
        </w:trPr>
        <w:tc>
          <w:tcPr>
            <w:tcW w:type="dxa" w:w="1140"/>
            <w:vMerge w:val="restart"/>
            <w:tcBorders/>
            <w:shd w:fill="ffffff"/>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45" w:lineRule="auto" w:before="8" w:after="0"/>
              <w:ind w:left="864" w:right="114" w:firstLine="0"/>
              <w:jc w:val="right"/>
            </w:pPr>
            <w:r>
              <w:rPr>
                <w:rFonts w:ascii="" w:hAnsi="" w:eastAsia=""/>
                <w:b w:val="0"/>
                <w:i w:val="0"/>
                <w:color w:val="000000"/>
                <w:sz w:val="20"/>
              </w:rPr>
              <w:t>▪​</w:t>
            </w:r>
            <w:r>
              <w:br/>
            </w:r>
            <w:r>
              <w:rPr>
                <w:rFonts w:ascii="" w:hAnsi="" w:eastAsia=""/>
                <w:b w:val="0"/>
                <w:i w:val="0"/>
                <w:color w:val="000000"/>
                <w:sz w:val="20"/>
              </w:rPr>
              <w:t>▪​</w:t>
            </w:r>
          </w:p>
          <w:p>
            <w:pPr>
              <w:autoSpaceDN w:val="0"/>
              <w:autoSpaceDE w:val="0"/>
              <w:widowControl/>
              <w:spacing w:line="245" w:lineRule="auto" w:before="996" w:after="0"/>
              <w:ind w:left="900" w:right="114" w:firstLine="0"/>
              <w:jc w:val="both"/>
            </w:pP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p>
        </w:tc>
        <w:tc>
          <w:tcPr>
            <w:tcW w:type="dxa" w:w="9080"/>
            <w:gridSpan w:val="2"/>
            <w:tcBorders/>
            <w:shd w:fill="ffffff"/>
            <w:tcMar>
              <w:start w:w="0" w:type="dxa"/>
              <w:end w:w="0" w:type="dxa"/>
            </w:tcMar>
            <w:tcMar>
              <w:start w:w="0" w:type="dxa"/>
              <w:end w:w="0" w:type="dxa"/>
            </w:tcMar>
          </w:tcPr>
          <w:p>
            <w:pPr>
              <w:autoSpaceDN w:val="0"/>
              <w:autoSpaceDE w:val="0"/>
              <w:widowControl/>
              <w:spacing w:line="245" w:lineRule="auto" w:before="38" w:after="0"/>
              <w:ind w:left="120" w:right="1584" w:firstLine="0"/>
              <w:jc w:val="left"/>
            </w:pPr>
            <w:r>
              <w:rPr>
                <w:rFonts w:ascii="" w:hAnsi="" w:eastAsia=""/>
                <w:b w:val="0"/>
                <w:i w:val="0"/>
                <w:color w:val="000000"/>
                <w:sz w:val="20"/>
              </w:rPr>
              <w:t xml:space="preserve">Reserves are calculated off actual P&amp;I payment plus taxes, insurance and HOA fees (PITIA) </w:t>
            </w:r>
            <w:r>
              <w:rPr>
                <w:rFonts w:ascii="" w:hAnsi="" w:eastAsia=""/>
                <w:b w:val="0"/>
                <w:i w:val="0"/>
                <w:color w:val="000000"/>
                <w:sz w:val="20"/>
              </w:rPr>
              <w:t xml:space="preserve">Reserve requirements (post-closing, calculated on PITIA):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72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$100,000–$1,000,000: three (3) months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72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$1,000,000–$2,000,000: six (6) months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72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$2,000,000 and above: twelve (12) months </w:t>
            </w:r>
          </w:p>
        </w:tc>
      </w:tr>
      <w:tr>
        <w:trPr>
          <w:trHeight w:hRule="exact" w:val="26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20"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720"/>
            <w:tcBorders/>
            <w:shd w:fill="ffffff"/>
            <w:tcMar>
              <w:start w:w="0" w:type="dxa"/>
              <w:end w:w="0" w:type="dxa"/>
            </w:tcMar>
          </w:tcPr>
          <w:p>
            <w:pPr>
              <w:autoSpaceDN w:val="0"/>
              <w:autoSpaceDE w:val="0"/>
              <w:widowControl/>
              <w:spacing w:line="197" w:lineRule="auto" w:before="52" w:after="0"/>
              <w:ind w:left="120" w:right="0" w:firstLine="0"/>
              <w:jc w:val="left"/>
            </w:pPr>
            <w:r>
              <w:rPr>
                <w:rFonts w:ascii="" w:hAnsi="" w:eastAsia=""/>
                <w:b w:val="0"/>
                <w:i w:val="0"/>
                <w:color w:val="000000"/>
                <w:sz w:val="20"/>
              </w:rPr>
              <w:t xml:space="preserve">Foreign National: twelve (12) months </w:t>
            </w:r>
          </w:p>
        </w:tc>
      </w:tr>
      <w:tr>
        <w:trPr>
          <w:trHeight w:hRule="exact" w:val="784"/>
        </w:trPr>
        <w:tc>
          <w:tcPr>
            <w:tcW w:type="dxa" w:w="3120"/>
            <w:vMerge/>
            <w:tcBorders/>
          </w:tcPr>
          <w:p/>
        </w:tc>
        <w:tc>
          <w:tcPr>
            <w:tcW w:type="dxa" w:w="9080"/>
            <w:gridSpan w:val="2"/>
            <w:tcBorders/>
            <w:shd w:fill="ffffff"/>
            <w:tcMar>
              <w:start w:w="0" w:type="dxa"/>
              <w:end w:w="0" w:type="dxa"/>
            </w:tcMar>
            <w:tcMar>
              <w:start w:w="0" w:type="dxa"/>
              <w:end w:w="0" w:type="dxa"/>
            </w:tcMar>
          </w:tcPr>
          <w:p>
            <w:pPr>
              <w:autoSpaceDN w:val="0"/>
              <w:autoSpaceDE w:val="0"/>
              <w:widowControl/>
              <w:spacing w:line="245" w:lineRule="auto" w:before="36" w:after="0"/>
              <w:ind w:left="120" w:right="1008" w:firstLine="0"/>
              <w:jc w:val="left"/>
            </w:pPr>
            <w:r>
              <w:rPr>
                <w:rFonts w:ascii="" w:hAnsi="" w:eastAsia=""/>
                <w:b w:val="0"/>
                <w:i w:val="0"/>
                <w:color w:val="000000"/>
                <w:sz w:val="20"/>
              </w:rPr>
              <w:t xml:space="preserve">Alpha Everest Capital does not require reserves for additional financed properties, Subject property only Reserves must be documented Cash Out proceeds may be used in reserve calculation </w:t>
            </w:r>
            <w:r>
              <w:rPr>
                <w:rFonts w:ascii="" w:hAnsi="" w:eastAsia=""/>
                <w:b w:val="0"/>
                <w:i w:val="0"/>
                <w:color w:val="000000"/>
                <w:sz w:val="20"/>
              </w:rPr>
              <w:t xml:space="preserve"/>
            </w:r>
            <w:r>
              <w:br/>
            </w:r>
            <w:r>
              <w:rPr>
                <w:rFonts w:ascii="" w:hAnsi="" w:eastAsia=""/>
                <w:b w:val="0"/>
                <w:i w:val="0"/>
                <w:color w:val="000000"/>
                <w:sz w:val="20"/>
              </w:rPr>
              <w:t xml:space="preserve"/>
            </w:r>
          </w:p>
        </w:tc>
      </w:tr>
    </w:tbl>
    <w:p>
      <w:pPr>
        <w:autoSpaceDN w:val="0"/>
        <w:autoSpaceDE w:val="0"/>
        <w:widowControl/>
        <w:spacing w:line="197" w:lineRule="auto" w:before="254" w:after="0"/>
        <w:ind w:left="1590" w:right="0" w:firstLine="0"/>
        <w:jc w:val="left"/>
      </w:pPr>
      <w:r>
        <w:rPr>
          <w:rFonts w:ascii="" w:hAnsi="" w:eastAsia=""/>
          <w:b/>
          <w:i w:val="0"/>
          <w:color w:val="548DD4"/>
          <w:sz w:val="32"/>
        </w:rPr>
        <w:t>3. Borrower Eligibility</w:t>
      </w:r>
    </w:p>
    <w:p>
      <w:pPr>
        <w:autoSpaceDN w:val="0"/>
        <w:autoSpaceDE w:val="0"/>
        <w:widowControl/>
        <w:spacing w:line="197" w:lineRule="auto" w:before="296" w:after="6"/>
        <w:ind w:left="1590" w:right="0" w:firstLine="0"/>
        <w:jc w:val="left"/>
      </w:pPr>
      <w:r>
        <w:rPr>
          <w:rFonts w:ascii="" w:hAnsi="" w:eastAsia=""/>
          <w:b/>
          <w:i w:val="0"/>
          <w:color w:val="000000"/>
          <w:sz w:val="23"/>
        </w:rPr>
        <w:t xml:space="preserve">3.1 Eligible Borrowers </w:t>
      </w:r>
    </w:p>
    <w:tbl>
      <w:tblPr>
        <w:tblW w:type="auto" w:w="0"/>
        <w:tblLayout w:type="fixed"/>
        <w:tblLook w:firstColumn="1" w:firstRow="1" w:lastColumn="0" w:lastRow="0" w:noHBand="0" w:noVBand="1" w:val="04A0"/>
        <w:tblInd w:w="900.0" w:type="dxa"/>
      </w:tblPr>
      <w:tblGrid>
        <w:gridCol w:w="4680"/>
        <w:gridCol w:w="4680"/>
      </w:tblGrid>
      <w:tr>
        <w:trPr>
          <w:trHeight w:hRule="exact" w:val="1480"/>
        </w:trPr>
        <w:tc>
          <w:tcPr>
            <w:tcW w:type="dxa" w:w="1140"/>
            <w:tcBorders/>
            <w:shd w:fill="ffffff"/>
            <w:tcMar>
              <w:start w:w="0" w:type="dxa"/>
              <w:end w:w="0" w:type="dxa"/>
            </w:tcMar>
          </w:tcPr>
          <w:p>
            <w:pPr>
              <w:autoSpaceDN w:val="0"/>
              <w:autoSpaceDE w:val="0"/>
              <w:widowControl/>
              <w:spacing w:line="245" w:lineRule="auto" w:before="6" w:after="0"/>
              <w:ind w:left="900" w:right="114" w:firstLine="0"/>
              <w:jc w:val="both"/>
            </w:pP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p>
        </w:tc>
        <w:tc>
          <w:tcPr>
            <w:tcW w:type="dxa" w:w="9280"/>
            <w:tcBorders/>
            <w:shd w:fill="ffffff"/>
            <w:tcMar>
              <w:start w:w="0" w:type="dxa"/>
              <w:end w:w="0" w:type="dxa"/>
            </w:tcMar>
          </w:tcPr>
          <w:p>
            <w:pPr>
              <w:autoSpaceDN w:val="0"/>
              <w:autoSpaceDE w:val="0"/>
              <w:widowControl/>
              <w:spacing w:line="245" w:lineRule="auto" w:before="38" w:after="0"/>
              <w:ind w:left="120" w:right="864" w:firstLine="0"/>
              <w:jc w:val="left"/>
            </w:pPr>
            <w:r>
              <w:rPr>
                <w:rFonts w:ascii="" w:hAnsi="" w:eastAsia=""/>
                <w:b w:val="0"/>
                <w:i w:val="0"/>
                <w:color w:val="000000"/>
                <w:sz w:val="20"/>
              </w:rPr>
              <w:t xml:space="preserve">U.S. Citizens </w:t>
            </w:r>
            <w:r>
              <w:br/>
            </w:r>
            <w:r>
              <w:rPr>
                <w:rFonts w:ascii="" w:hAnsi="" w:eastAsia=""/>
                <w:b w:val="0"/>
                <w:i w:val="0"/>
                <w:color w:val="000000"/>
                <w:sz w:val="20"/>
              </w:rPr>
              <w:t xml:space="preserve">Permanent Resident Aliens </w:t>
            </w:r>
            <w:r>
              <w:br/>
            </w:r>
            <w:r>
              <w:rPr>
                <w:rFonts w:ascii="" w:hAnsi="" w:eastAsia=""/>
                <w:b w:val="0"/>
                <w:i w:val="0"/>
                <w:color w:val="000000"/>
                <w:sz w:val="20"/>
              </w:rPr>
              <w:t xml:space="preserve">Non- Permanent Resident Alien (Max 75% LTV, No Cash Out) </w:t>
            </w:r>
            <w:r>
              <w:br/>
            </w:r>
            <w:r>
              <w:rPr>
                <w:rFonts w:ascii="" w:hAnsi="" w:eastAsia=""/>
                <w:b w:val="0"/>
                <w:i w:val="0"/>
                <w:color w:val="000000"/>
                <w:sz w:val="20"/>
              </w:rPr>
              <w:t xml:space="preserve">Foreign Nationals </w:t>
            </w:r>
            <w:r>
              <w:br/>
            </w:r>
            <w:r>
              <w:rPr>
                <w:rFonts w:ascii="" w:hAnsi="" w:eastAsia=""/>
                <w:b w:val="0"/>
                <w:i w:val="0"/>
                <w:color w:val="000000"/>
                <w:sz w:val="20"/>
              </w:rPr>
              <w:t xml:space="preserve">Non-Occupant Co-Borrowers </w:t>
            </w:r>
            <w:r>
              <w:br/>
            </w:r>
            <w:r>
              <w:rPr>
                <w:rFonts w:ascii="" w:hAnsi="" w:eastAsia=""/>
                <w:b w:val="0"/>
                <w:i w:val="0"/>
                <w:color w:val="000000"/>
                <w:sz w:val="20"/>
              </w:rPr>
              <w:t xml:space="preserve">Limited Partnerships, Corporations, Limited Liability Companies (“LLCs”), Limited Liability Partnership, </w:t>
            </w:r>
          </w:p>
        </w:tc>
      </w:tr>
    </w:tbl>
    <w:p>
      <w:pPr>
        <w:autoSpaceDN w:val="0"/>
        <w:tabs>
          <w:tab w:pos="2160" w:val="left"/>
        </w:tabs>
        <w:autoSpaceDE w:val="0"/>
        <w:widowControl/>
        <w:spacing w:line="245" w:lineRule="auto" w:before="22" w:after="0"/>
        <w:ind w:left="1800" w:right="1440" w:firstLine="0"/>
        <w:jc w:val="left"/>
      </w:pPr>
      <w:r>
        <w:tab/>
      </w:r>
      <w:r>
        <w:rPr>
          <w:rFonts w:ascii="" w:hAnsi="" w:eastAsia=""/>
          <w:b w:val="0"/>
          <w:i w:val="0"/>
          <w:color w:val="000000"/>
          <w:sz w:val="20"/>
        </w:rPr>
        <w:t xml:space="preserve">Revocable trust </w:t>
      </w:r>
      <w:r>
        <w:br/>
      </w:r>
      <w:r>
        <w:rPr>
          <w:rFonts w:ascii="" w:hAnsi="" w:eastAsia=""/>
          <w:b w:val="0"/>
          <w:i w:val="0"/>
          <w:color w:val="000000"/>
          <w:sz w:val="20"/>
        </w:rPr>
        <w:t>▪​</w:t>
      </w:r>
      <w:r>
        <w:tab/>
      </w:r>
      <w:r>
        <w:rPr>
          <w:rFonts w:ascii="" w:hAnsi="" w:eastAsia=""/>
          <w:b w:val="0"/>
          <w:i w:val="0"/>
          <w:color w:val="000000"/>
          <w:sz w:val="20"/>
        </w:rPr>
        <w:t xml:space="preserve">ITIN Borrowers: entity vesting required; Maximum 70% LTV (Purchase) / 65% (Refinance); Maximum loan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amount $1,000,000; Minimum FICO 700 </w:t>
      </w:r>
    </w:p>
    <w:p>
      <w:pPr>
        <w:autoSpaceDN w:val="0"/>
        <w:autoSpaceDE w:val="0"/>
        <w:widowControl/>
        <w:spacing w:line="197" w:lineRule="auto" w:before="296" w:after="0"/>
        <w:ind w:left="1590" w:right="0" w:firstLine="0"/>
        <w:jc w:val="left"/>
      </w:pPr>
      <w:r>
        <w:rPr>
          <w:rFonts w:ascii="" w:hAnsi="" w:eastAsia=""/>
          <w:b/>
          <w:i w:val="0"/>
          <w:color w:val="000000"/>
          <w:sz w:val="23"/>
        </w:rPr>
        <w:t xml:space="preserve">3.2 Non-Permanent Resident Aliens </w:t>
      </w:r>
    </w:p>
    <w:p>
      <w:pPr>
        <w:autoSpaceDN w:val="0"/>
        <w:tabs>
          <w:tab w:pos="1800" w:val="left"/>
          <w:tab w:pos="2160" w:val="left"/>
        </w:tabs>
        <w:autoSpaceDE w:val="0"/>
        <w:widowControl/>
        <w:spacing w:line="245" w:lineRule="auto" w:before="50" w:after="0"/>
        <w:ind w:left="1590" w:right="3456" w:firstLine="0"/>
        <w:jc w:val="left"/>
      </w:pPr>
      <w:r>
        <w:rPr>
          <w:rFonts w:ascii="" w:hAnsi="" w:eastAsia=""/>
          <w:b/>
          <w:i w:val="0"/>
          <w:color w:val="000000"/>
          <w:sz w:val="23"/>
        </w:rPr>
        <w:t xml:space="preserve">Non-Permanent Resident Aliens must meet the following requirements: </w:t>
      </w:r>
      <w:r>
        <w:tab/>
      </w:r>
      <w:r>
        <w:rPr>
          <w:rFonts w:ascii="" w:hAnsi="" w:eastAsia=""/>
          <w:b w:val="0"/>
          <w:i w:val="0"/>
          <w:color w:val="000000"/>
          <w:sz w:val="20"/>
        </w:rPr>
        <w:t>▪​</w:t>
      </w:r>
      <w:r>
        <w:tab/>
      </w:r>
      <w:r>
        <w:rPr>
          <w:rFonts w:ascii="" w:hAnsi="" w:eastAsia=""/>
          <w:b w:val="0"/>
          <w:i w:val="0"/>
          <w:color w:val="000000"/>
          <w:sz w:val="20"/>
        </w:rPr>
        <w:t xml:space="preserve">The following Visa classifications are allowed as Non-Permanent Resident Aliens: </w:t>
      </w:r>
    </w:p>
    <w:p>
      <w:pPr>
        <w:autoSpaceDN w:val="0"/>
        <w:autoSpaceDE w:val="0"/>
        <w:widowControl/>
        <w:spacing w:line="218" w:lineRule="auto" w:before="632" w:after="0"/>
        <w:ind w:left="0" w:right="0" w:firstLine="0"/>
        <w:jc w:val="center"/>
      </w:pPr>
      <w:r>
        <w:rPr>
          <w:rFonts w:ascii="" w:hAnsi="" w:eastAsia=""/>
          <w:b w:val="0"/>
          <w:i w:val="0"/>
          <w:color w:val="4F81BD"/>
          <w:sz w:val="22"/>
        </w:rPr>
        <w:t xml:space="preserve">3 </w:t>
      </w:r>
    </w:p>
    <w:p>
      <w:pPr>
        <w:sectPr>
          <w:pgSz w:w="12240" w:h="15840"/>
          <w:pgMar w:top="0" w:right="0" w:bottom="0" w:left="0" w:header="720" w:footer="720" w:gutter="0"/>
          <w:cols/>
          <w:docGrid w:linePitch="360"/>
        </w:sectPr>
      </w:pPr>
    </w:p>
    <w:p>
      <w:pPr>
        <w:autoSpaceDN w:val="0"/>
        <w:autoSpaceDE w:val="0"/>
        <w:widowControl/>
        <w:spacing w:line="1394" w:lineRule="exact" w:before="0" w:after="0"/>
        <w:ind w:left="0" w:right="0"/>
      </w:pPr>
    </w:p>
    <w:tbl>
      <w:tblPr>
        <w:tblW w:type="auto" w:w="0"/>
        <w:tblLayout w:type="fixed"/>
        <w:tblLook w:firstColumn="1" w:firstRow="1" w:lastColumn="0" w:lastRow="0" w:noHBand="0" w:noVBand="1" w:val="04A0"/>
        <w:tblInd w:w="900.0" w:type="dxa"/>
      </w:tblPr>
      <w:tblGrid>
        <w:gridCol w:w="3120"/>
        <w:gridCol w:w="3120"/>
        <w:gridCol w:w="3120"/>
      </w:tblGrid>
      <w:tr>
        <w:trPr>
          <w:trHeight w:hRule="exact" w:val="286"/>
        </w:trPr>
        <w:tc>
          <w:tcPr>
            <w:tcW w:type="dxa" w:w="1140"/>
            <w:vMerge w:val="restart"/>
            <w:tcBorders/>
            <w:shd w:fill="ffffff"/>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21" w:lineRule="auto" w:before="2256" w:after="0"/>
              <w:ind w:left="0" w:right="114" w:firstLine="0"/>
              <w:jc w:val="right"/>
            </w:pPr>
            <w:r>
              <w:rPr>
                <w:rFonts w:ascii="" w:hAnsi="" w:eastAsia=""/>
                <w:b w:val="0"/>
                <w:i w:val="0"/>
                <w:color w:val="000000"/>
                <w:sz w:val="20"/>
              </w:rPr>
              <w:t>▪​</w:t>
            </w:r>
          </w:p>
        </w:tc>
        <w:tc>
          <w:tcPr>
            <w:tcW w:type="dxa" w:w="360"/>
            <w:tcBorders/>
            <w:shd w:fill="ffffff"/>
            <w:tcMar>
              <w:start w:w="0" w:type="dxa"/>
              <w:end w:w="0" w:type="dxa"/>
            </w:tcMar>
          </w:tcPr>
          <w:p>
            <w:pPr>
              <w:autoSpaceDN w:val="0"/>
              <w:autoSpaceDE w:val="0"/>
              <w:widowControl/>
              <w:spacing w:line="226" w:lineRule="auto" w:before="56"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226" w:lineRule="auto" w:before="56" w:after="0"/>
              <w:ind w:left="120" w:right="0" w:firstLine="0"/>
              <w:jc w:val="left"/>
            </w:pPr>
            <w:r>
              <w:rPr>
                <w:rFonts w:ascii="" w:hAnsi="" w:eastAsia=""/>
                <w:b w:val="0"/>
                <w:i w:val="0"/>
                <w:color w:val="000000"/>
                <w:sz w:val="20"/>
              </w:rPr>
              <w:t>E-1, E-2, E-3</w:t>
            </w:r>
            <w:r>
              <w:rPr>
                <w:rFonts w:ascii="" w:hAnsi="" w:eastAsia=""/>
                <w:b w:val="0"/>
                <w:i w:val="0"/>
                <w:color w:val="000000"/>
                <w:sz w:val="20"/>
              </w:rPr>
              <w:t>​</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10"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226" w:lineRule="auto" w:before="10" w:after="0"/>
              <w:ind w:left="120" w:right="0" w:firstLine="0"/>
              <w:jc w:val="left"/>
            </w:pPr>
            <w:r>
              <w:rPr>
                <w:rFonts w:ascii="" w:hAnsi="" w:eastAsia=""/>
                <w:b w:val="0"/>
                <w:i w:val="0"/>
                <w:color w:val="000000"/>
                <w:sz w:val="20"/>
              </w:rPr>
              <w:t>H-1B</w:t>
            </w:r>
            <w:r>
              <w:rPr>
                <w:rFonts w:ascii="" w:hAnsi="" w:eastAsia=""/>
                <w:b w:val="0"/>
                <w:i w:val="0"/>
                <w:color w:val="000000"/>
                <w:sz w:val="20"/>
              </w:rPr>
              <w:t>​</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10"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O-1 </w:t>
            </w:r>
          </w:p>
        </w:tc>
      </w:tr>
      <w:tr>
        <w:trPr>
          <w:trHeight w:hRule="exact" w:val="26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26"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226" w:lineRule="auto" w:before="26" w:after="0"/>
              <w:ind w:left="120" w:right="0" w:firstLine="0"/>
              <w:jc w:val="left"/>
            </w:pPr>
            <w:r>
              <w:rPr>
                <w:rFonts w:ascii="" w:hAnsi="" w:eastAsia=""/>
                <w:b w:val="0"/>
                <w:i w:val="0"/>
                <w:color w:val="000000"/>
                <w:sz w:val="20"/>
              </w:rPr>
              <w:t>EB-5</w:t>
            </w:r>
            <w:r>
              <w:rPr>
                <w:rFonts w:ascii="" w:hAnsi="" w:eastAsia=""/>
                <w:b w:val="0"/>
                <w:i w:val="0"/>
                <w:color w:val="000000"/>
                <w:sz w:val="20"/>
              </w:rPr>
              <w:t>​</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10"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226" w:lineRule="auto" w:before="10" w:after="0"/>
              <w:ind w:left="120" w:right="0" w:firstLine="0"/>
              <w:jc w:val="left"/>
            </w:pPr>
            <w:r>
              <w:rPr>
                <w:rFonts w:ascii="" w:hAnsi="" w:eastAsia=""/>
                <w:b w:val="0"/>
                <w:i w:val="0"/>
                <w:color w:val="000000"/>
                <w:sz w:val="20"/>
              </w:rPr>
              <w:t>L-1</w:t>
            </w:r>
            <w:r>
              <w:rPr>
                <w:rFonts w:ascii="" w:hAnsi="" w:eastAsia=""/>
                <w:b w:val="0"/>
                <w:i w:val="0"/>
                <w:color w:val="000000"/>
                <w:sz w:val="20"/>
              </w:rPr>
              <w:t>​</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10"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R-1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10"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226" w:lineRule="auto" w:before="10" w:after="0"/>
              <w:ind w:left="120" w:right="0" w:firstLine="0"/>
              <w:jc w:val="left"/>
            </w:pPr>
            <w:r>
              <w:rPr>
                <w:rFonts w:ascii="" w:hAnsi="" w:eastAsia=""/>
                <w:b w:val="0"/>
                <w:i w:val="0"/>
                <w:color w:val="000000"/>
                <w:sz w:val="20"/>
              </w:rPr>
              <w:t>G-1 through G-5</w:t>
            </w:r>
            <w:r>
              <w:rPr>
                <w:rFonts w:ascii="" w:hAnsi="" w:eastAsia=""/>
                <w:b w:val="0"/>
                <w:i w:val="0"/>
                <w:color w:val="000000"/>
                <w:sz w:val="20"/>
              </w:rPr>
              <w:t>​</w:t>
            </w:r>
          </w:p>
        </w:tc>
      </w:tr>
      <w:tr>
        <w:trPr>
          <w:trHeight w:hRule="exact" w:val="26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22"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228" w:lineRule="auto" w:before="22" w:after="0"/>
              <w:ind w:left="120" w:right="0" w:firstLine="0"/>
              <w:jc w:val="left"/>
            </w:pPr>
            <w:r>
              <w:rPr>
                <w:rFonts w:ascii="" w:hAnsi="" w:eastAsia=""/>
                <w:b w:val="0"/>
                <w:i w:val="0"/>
                <w:color w:val="000000"/>
                <w:sz w:val="20"/>
              </w:rPr>
              <w:t>NATO</w:t>
            </w:r>
            <w:r>
              <w:rPr>
                <w:rFonts w:ascii="" w:hAnsi="" w:eastAsia=""/>
                <w:b w:val="0"/>
                <w:i w:val="0"/>
                <w:color w:val="000000"/>
                <w:sz w:val="20"/>
              </w:rPr>
              <w:t>​</w:t>
            </w:r>
          </w:p>
        </w:tc>
      </w:tr>
      <w:tr>
        <w:trPr>
          <w:trHeight w:hRule="exact" w:val="26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6"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38" w:after="0"/>
              <w:ind w:left="120" w:right="0" w:firstLine="0"/>
              <w:jc w:val="left"/>
            </w:pPr>
            <w:r>
              <w:rPr>
                <w:rFonts w:ascii="" w:hAnsi="" w:eastAsia=""/>
                <w:b w:val="0"/>
                <w:i w:val="0"/>
                <w:color w:val="000000"/>
                <w:sz w:val="20"/>
              </w:rPr>
              <w:t xml:space="preserve">TN (NAFTA)R-1 </w:t>
            </w:r>
          </w:p>
        </w:tc>
      </w:tr>
      <w:tr>
        <w:trPr>
          <w:trHeight w:hRule="exact" w:val="244"/>
        </w:trPr>
        <w:tc>
          <w:tcPr>
            <w:tcW w:type="dxa" w:w="3120"/>
            <w:vMerge/>
            <w:tcBorders/>
          </w:tcPr>
          <w:p/>
        </w:tc>
        <w:tc>
          <w:tcPr>
            <w:tcW w:type="dxa" w:w="9020"/>
            <w:gridSpan w:val="2"/>
            <w:tcBorders/>
            <w:shd w:fill="ffffff"/>
            <w:tcMar>
              <w:start w:w="0" w:type="dxa"/>
              <w:end w:w="0" w:type="dxa"/>
            </w:tcMar>
            <w:tcMar>
              <w:start w:w="0" w:type="dxa"/>
              <w:end w:w="0" w:type="dxa"/>
            </w:tcMar>
          </w:tcPr>
          <w:p>
            <w:pPr>
              <w:autoSpaceDN w:val="0"/>
              <w:autoSpaceDE w:val="0"/>
              <w:widowControl/>
              <w:spacing w:line="197" w:lineRule="auto" w:before="22" w:after="0"/>
              <w:ind w:left="120" w:right="0" w:firstLine="0"/>
              <w:jc w:val="left"/>
            </w:pPr>
            <w:r>
              <w:rPr>
                <w:rFonts w:ascii="" w:hAnsi="" w:eastAsia=""/>
                <w:b w:val="0"/>
                <w:i w:val="0"/>
                <w:color w:val="000000"/>
                <w:sz w:val="20"/>
              </w:rPr>
              <w:t xml:space="preserve">Copies of the Borrower’s passport and unexpired visa must be obtained. Acceptable alternative </w:t>
            </w:r>
          </w:p>
        </w:tc>
      </w:tr>
    </w:tbl>
    <w:p>
      <w:pPr>
        <w:autoSpaceDN w:val="0"/>
        <w:tabs>
          <w:tab w:pos="1800" w:val="left"/>
          <w:tab w:pos="2160" w:val="left"/>
        </w:tabs>
        <w:autoSpaceDE w:val="0"/>
        <w:widowControl/>
        <w:spacing w:line="245" w:lineRule="auto" w:before="22" w:after="0"/>
        <w:ind w:left="1590" w:right="1584" w:firstLine="0"/>
        <w:jc w:val="left"/>
      </w:pPr>
      <w:r>
        <w:tab/>
      </w:r>
      <w:r>
        <w:tab/>
      </w:r>
      <w:r>
        <w:rPr>
          <w:rFonts w:ascii="" w:hAnsi="" w:eastAsia=""/>
          <w:b w:val="0"/>
          <w:i w:val="0"/>
          <w:color w:val="000000"/>
          <w:sz w:val="20"/>
        </w:rPr>
        <w:t xml:space="preserve">documentation to verify visa classification is an I-797 form (Notice of Action) with valid extension dates </w:t>
      </w:r>
      <w:r>
        <w:tab/>
      </w:r>
      <w:r>
        <w:tab/>
      </w:r>
      <w:r>
        <w:rPr>
          <w:rFonts w:ascii="" w:hAnsi="" w:eastAsia=""/>
          <w:b w:val="0"/>
          <w:i w:val="0"/>
          <w:color w:val="000000"/>
          <w:sz w:val="20"/>
        </w:rPr>
        <w:t xml:space="preserve">and an I-94 form (Arrival/Departure Record). Borrowers unable to provide evidence of lawful residency </w:t>
      </w:r>
      <w:r>
        <w:tab/>
      </w:r>
      <w:r>
        <w:tab/>
      </w:r>
      <w:r>
        <w:rPr>
          <w:rFonts w:ascii="" w:hAnsi="" w:eastAsia=""/>
          <w:b w:val="0"/>
          <w:i w:val="0"/>
          <w:color w:val="000000"/>
          <w:sz w:val="20"/>
        </w:rPr>
        <w:t xml:space="preserve">status in the U.S. are not eligible for financing </w:t>
      </w:r>
      <w:r>
        <w:br/>
      </w:r>
      <w:r>
        <w:tab/>
      </w:r>
      <w:r>
        <w:rPr>
          <w:rFonts w:ascii="" w:hAnsi="" w:eastAsia=""/>
          <w:b w:val="0"/>
          <w:i w:val="0"/>
          <w:color w:val="000000"/>
          <w:sz w:val="20"/>
        </w:rPr>
        <w:t>▪​</w:t>
      </w:r>
      <w:r>
        <w:tab/>
      </w:r>
      <w:r>
        <w:rPr>
          <w:rFonts w:ascii="" w:hAnsi="" w:eastAsia=""/>
          <w:b w:val="0"/>
          <w:i w:val="0"/>
          <w:color w:val="000000"/>
          <w:sz w:val="20"/>
        </w:rPr>
        <w:t xml:space="preserve">A valid employment authorization document (EAD) must be obtained if the visa is not sponsored by the </w:t>
      </w:r>
      <w:r>
        <w:tab/>
      </w:r>
      <w:r>
        <w:tab/>
      </w:r>
      <w:r>
        <w:rPr>
          <w:rFonts w:ascii="" w:hAnsi="" w:eastAsia=""/>
          <w:b w:val="0"/>
          <w:i w:val="0"/>
          <w:color w:val="000000"/>
          <w:sz w:val="20"/>
        </w:rPr>
        <w:t xml:space="preserve">Borrower’s current employer. If the visa will expire within six (6) months of loan application, it is </w:t>
      </w:r>
      <w:r>
        <w:tab/>
      </w:r>
      <w:r>
        <w:tab/>
      </w:r>
      <w:r>
        <w:rPr>
          <w:rFonts w:ascii="" w:hAnsi="" w:eastAsia=""/>
          <w:b w:val="0"/>
          <w:i w:val="0"/>
          <w:color w:val="000000"/>
          <w:sz w:val="20"/>
        </w:rPr>
        <w:t xml:space="preserve">acceptable to obtain a letter from the employer documenting the Borrower’s continued employment </w:t>
      </w:r>
      <w:r>
        <w:tab/>
      </w:r>
      <w:r>
        <w:tab/>
      </w:r>
      <w:r>
        <w:rPr>
          <w:rFonts w:ascii="" w:hAnsi="" w:eastAsia=""/>
          <w:b w:val="0"/>
          <w:i w:val="0"/>
          <w:color w:val="000000"/>
          <w:sz w:val="20"/>
        </w:rPr>
        <w:t xml:space="preserve">and continued visa renewal sponsorship (employer on the loan application must be the same as on the </w:t>
      </w:r>
      <w:r>
        <w:tab/>
      </w:r>
      <w:r>
        <w:tab/>
      </w:r>
      <w:r>
        <w:rPr>
          <w:rFonts w:ascii="" w:hAnsi="" w:eastAsia=""/>
          <w:b w:val="0"/>
          <w:i w:val="0"/>
          <w:color w:val="000000"/>
          <w:sz w:val="20"/>
        </w:rPr>
        <w:t xml:space="preserve">unexpired visa) </w:t>
      </w:r>
      <w:r>
        <w:br/>
      </w:r>
      <w:r>
        <w:tab/>
      </w:r>
      <w:r>
        <w:rPr>
          <w:rFonts w:ascii="" w:hAnsi="" w:eastAsia=""/>
          <w:b w:val="0"/>
          <w:i w:val="0"/>
          <w:color w:val="000000"/>
          <w:sz w:val="20"/>
        </w:rPr>
        <w:t>▪​</w:t>
      </w:r>
      <w:r>
        <w:tab/>
      </w:r>
      <w:r>
        <w:rPr>
          <w:rFonts w:ascii="" w:hAnsi="" w:eastAsia=""/>
          <w:b w:val="0"/>
          <w:i w:val="0"/>
          <w:color w:val="000000"/>
          <w:sz w:val="20"/>
        </w:rPr>
        <w:t xml:space="preserve">If a non-U.S. citizen is borrowing with a U.S. citizen, it does not eliminate visa or other residency </w:t>
      </w:r>
      <w:r>
        <w:tab/>
      </w:r>
      <w:r>
        <w:tab/>
      </w:r>
      <w:r>
        <w:rPr>
          <w:rFonts w:ascii="" w:hAnsi="" w:eastAsia=""/>
          <w:b w:val="0"/>
          <w:i w:val="0"/>
          <w:color w:val="000000"/>
          <w:sz w:val="20"/>
        </w:rPr>
        <w:t xml:space="preserve">requirements. Individuals in possession of spouse or family member visas are to qualify as co-Borrowers </w:t>
      </w:r>
      <w:r>
        <w:tab/>
      </w:r>
      <w:r>
        <w:tab/>
      </w:r>
      <w:r>
        <w:rPr>
          <w:rFonts w:ascii="" w:hAnsi="" w:eastAsia=""/>
          <w:b w:val="0"/>
          <w:i w:val="0"/>
          <w:color w:val="000000"/>
          <w:sz w:val="20"/>
        </w:rPr>
        <w:t xml:space="preserve">only. A valid EAD must be provided to use income for qualification </w:t>
      </w:r>
      <w:r>
        <w:br/>
      </w:r>
      <w:r>
        <w:tab/>
      </w:r>
      <w:r>
        <w:rPr>
          <w:rFonts w:ascii="" w:hAnsi="" w:eastAsia=""/>
          <w:b w:val="0"/>
          <w:i w:val="0"/>
          <w:color w:val="000000"/>
          <w:sz w:val="20"/>
        </w:rPr>
        <w:t>▪​</w:t>
      </w:r>
      <w:r>
        <w:tab/>
      </w:r>
      <w:r>
        <w:rPr>
          <w:rFonts w:ascii="" w:hAnsi="" w:eastAsia=""/>
          <w:b w:val="0"/>
          <w:i w:val="0"/>
          <w:color w:val="000000"/>
          <w:sz w:val="20"/>
        </w:rPr>
        <w:t xml:space="preserve">Borrowers who are residents of countries which participate in the Department of Homeland Security’s </w:t>
      </w:r>
      <w:r>
        <w:tab/>
      </w:r>
      <w:r>
        <w:tab/>
      </w:r>
      <w:r>
        <w:rPr>
          <w:rFonts w:ascii="" w:hAnsi="" w:eastAsia=""/>
          <w:b w:val="0"/>
          <w:i w:val="0"/>
          <w:color w:val="000000"/>
          <w:sz w:val="20"/>
        </w:rPr>
        <w:t xml:space="preserve">Visa Waiver Program (VWP) will not be required to provide a valid visa. Participating countries can be </w:t>
      </w:r>
      <w:r>
        <w:tab/>
      </w:r>
      <w:r>
        <w:tab/>
      </w:r>
      <w:r>
        <w:rPr>
          <w:rFonts w:ascii="" w:hAnsi="" w:eastAsia=""/>
          <w:b w:val="0"/>
          <w:i w:val="0"/>
          <w:color w:val="000000"/>
          <w:sz w:val="20"/>
        </w:rPr>
        <w:t xml:space="preserve">verified through the U.S. Department of State website: </w:t>
      </w:r>
      <w:r>
        <w:br/>
      </w:r>
      <w:r>
        <w:tab/>
      </w:r>
      <w:r>
        <w:tab/>
      </w:r>
      <w:r>
        <w:rPr>
          <w:rFonts w:ascii="" w:hAnsi="" w:eastAsia=""/>
          <w:b w:val="0"/>
          <w:i w:val="0"/>
          <w:color w:val="000000"/>
          <w:sz w:val="20"/>
        </w:rPr>
        <w:t>https://</w:t>
      </w:r>
      <w:r>
        <w:rPr>
          <w:rFonts w:ascii="" w:hAnsi="" w:eastAsia=""/>
          <w:b w:val="0"/>
          <w:i w:val="0"/>
          <w:color w:val="000000"/>
          <w:sz w:val="20"/>
        </w:rPr>
        <w:hyperlink r:id="rId9" w:history="1">
          <w:r>
            <w:rPr>
              <w:rStyle w:val="Hyperlink"/>
            </w:rPr>
            <w:t>www.dhs.gov/visa-waiver-program-requirements</w:t>
          </w:r>
        </w:hyperlink>
      </w:r>
      <w:r>
        <w:rPr>
          <w:rFonts w:ascii="" w:hAnsi="" w:eastAsia=""/>
          <w:b w:val="0"/>
          <w:i w:val="0"/>
          <w:color w:val="000000"/>
          <w:sz w:val="20"/>
        </w:rPr>
        <w:t xml:space="preserve"> </w:t>
      </w:r>
      <w:r>
        <w:br/>
      </w:r>
      <w:r>
        <w:rPr>
          <w:rFonts w:ascii="" w:hAnsi="" w:eastAsia=""/>
          <w:b/>
          <w:i w:val="0"/>
          <w:color w:val="000000"/>
          <w:sz w:val="23"/>
        </w:rPr>
        <w:t xml:space="preserve">Non-Permanent Resident Alien Program Restrictions </w:t>
      </w:r>
      <w:r>
        <w:br/>
      </w:r>
      <w:r>
        <w:tab/>
      </w:r>
      <w:r>
        <w:rPr>
          <w:rFonts w:ascii="" w:hAnsi="" w:eastAsia=""/>
          <w:b w:val="0"/>
          <w:i w:val="0"/>
          <w:color w:val="000000"/>
          <w:sz w:val="20"/>
        </w:rPr>
        <w:t>▪​</w:t>
      </w:r>
      <w:r>
        <w:tab/>
      </w:r>
      <w:r>
        <w:rPr>
          <w:rFonts w:ascii="" w:hAnsi="" w:eastAsia=""/>
          <w:b w:val="0"/>
          <w:i w:val="0"/>
          <w:color w:val="000000"/>
          <w:sz w:val="20"/>
        </w:rPr>
        <w:t xml:space="preserve">Maximum 75 % LTV/CLTV </w:t>
      </w:r>
      <w:r>
        <w:br/>
      </w:r>
      <w:r>
        <w:tab/>
      </w:r>
      <w:r>
        <w:rPr>
          <w:rFonts w:ascii="" w:hAnsi="" w:eastAsia=""/>
          <w:b w:val="0"/>
          <w:i w:val="0"/>
          <w:color w:val="000000"/>
          <w:sz w:val="20"/>
        </w:rPr>
        <w:t>▪​</w:t>
      </w:r>
      <w:r>
        <w:tab/>
      </w:r>
      <w:r>
        <w:rPr>
          <w:rFonts w:ascii="" w:hAnsi="" w:eastAsia=""/>
          <w:b w:val="0"/>
          <w:i w:val="0"/>
          <w:color w:val="000000"/>
          <w:sz w:val="20"/>
        </w:rPr>
        <w:t xml:space="preserve">Purchase and Rate / Term Refinances only, no cash out refi allowed </w:t>
      </w:r>
    </w:p>
    <w:p>
      <w:pPr>
        <w:autoSpaceDN w:val="0"/>
        <w:autoSpaceDE w:val="0"/>
        <w:widowControl/>
        <w:spacing w:line="245" w:lineRule="auto" w:before="296" w:after="0"/>
        <w:ind w:left="1590" w:right="1728" w:firstLine="0"/>
        <w:jc w:val="left"/>
      </w:pPr>
      <w:r>
        <w:rPr>
          <w:rFonts w:ascii="" w:hAnsi="" w:eastAsia=""/>
          <w:b/>
          <w:i w:val="0"/>
          <w:color w:val="000000"/>
          <w:sz w:val="23"/>
        </w:rPr>
        <w:t xml:space="preserve">3.3 Foreign National </w:t>
      </w:r>
      <w:r>
        <w:br/>
      </w:r>
      <w:r>
        <w:rPr>
          <w:rFonts w:ascii="" w:hAnsi="" w:eastAsia=""/>
          <w:b w:val="0"/>
          <w:i w:val="0"/>
          <w:color w:val="000000"/>
          <w:sz w:val="20"/>
        </w:rPr>
        <w:t xml:space="preserve">A Foreign National is a non-U.S. Citizen who is not authorized to live or work in the U.S. or holds a work Visa </w:t>
      </w:r>
      <w:r>
        <w:rPr>
          <w:rFonts w:ascii="" w:hAnsi="" w:eastAsia=""/>
          <w:b w:val="0"/>
          <w:i w:val="0"/>
          <w:color w:val="000000"/>
          <w:sz w:val="20"/>
        </w:rPr>
        <w:t xml:space="preserve">that is indicative of a more temporary residency than those required to meet Non-Permanent Resident Alien </w:t>
      </w:r>
      <w:r>
        <w:rPr>
          <w:rFonts w:ascii="" w:hAnsi="" w:eastAsia=""/>
          <w:b w:val="0"/>
          <w:i w:val="0"/>
          <w:color w:val="000000"/>
          <w:sz w:val="20"/>
        </w:rPr>
        <w:t xml:space="preserve">requirements. Foreign Nationals are ineligible for primary residence financing. </w:t>
      </w:r>
    </w:p>
    <w:p>
      <w:pPr>
        <w:autoSpaceDN w:val="0"/>
        <w:autoSpaceDE w:val="0"/>
        <w:widowControl/>
        <w:spacing w:line="197" w:lineRule="auto" w:before="50" w:after="8"/>
        <w:ind w:left="1590" w:right="0" w:firstLine="0"/>
        <w:jc w:val="left"/>
      </w:pPr>
      <w:r>
        <w:rPr>
          <w:rFonts w:ascii="" w:hAnsi="" w:eastAsia=""/>
          <w:b/>
          <w:i w:val="0"/>
          <w:color w:val="000000"/>
          <w:sz w:val="23"/>
        </w:rPr>
        <w:t xml:space="preserve">Verification of Residency Status </w:t>
      </w:r>
    </w:p>
    <w:tbl>
      <w:tblPr>
        <w:tblW w:type="auto" w:w="0"/>
        <w:tblLayout w:type="fixed"/>
        <w:tblLook w:firstColumn="1" w:firstRow="1" w:lastColumn="0" w:lastRow="0" w:noHBand="0" w:noVBand="1" w:val="04A0"/>
        <w:tblInd w:w="900.0" w:type="dxa"/>
      </w:tblPr>
      <w:tblGrid>
        <w:gridCol w:w="3120"/>
        <w:gridCol w:w="3120"/>
        <w:gridCol w:w="3120"/>
      </w:tblGrid>
      <w:tr>
        <w:trPr>
          <w:trHeight w:hRule="exact" w:val="242"/>
        </w:trPr>
        <w:tc>
          <w:tcPr>
            <w:tcW w:type="dxa" w:w="1140"/>
            <w:vMerge w:val="restart"/>
            <w:tcBorders/>
            <w:shd w:fill="ffffff"/>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21" w:lineRule="auto" w:before="6" w:after="0"/>
              <w:ind w:left="0" w:right="114" w:firstLine="0"/>
              <w:jc w:val="right"/>
            </w:pPr>
            <w:r>
              <w:rPr>
                <w:rFonts w:ascii="" w:hAnsi="" w:eastAsia=""/>
                <w:b w:val="0"/>
                <w:i w:val="0"/>
                <w:color w:val="000000"/>
                <w:sz w:val="20"/>
              </w:rPr>
              <w:t>▪​</w:t>
            </w:r>
          </w:p>
          <w:p>
            <w:pPr>
              <w:autoSpaceDN w:val="0"/>
              <w:autoSpaceDE w:val="0"/>
              <w:widowControl/>
              <w:spacing w:line="221" w:lineRule="auto" w:before="1484" w:after="0"/>
              <w:ind w:left="0" w:right="114" w:firstLine="0"/>
              <w:jc w:val="right"/>
            </w:pPr>
            <w:r>
              <w:rPr>
                <w:rFonts w:ascii="" w:hAnsi="" w:eastAsia=""/>
                <w:b w:val="0"/>
                <w:i w:val="0"/>
                <w:color w:val="000000"/>
                <w:sz w:val="20"/>
              </w:rPr>
              <w:t>▪​</w:t>
            </w:r>
          </w:p>
        </w:tc>
        <w:tc>
          <w:tcPr>
            <w:tcW w:type="dxa" w:w="9020"/>
            <w:gridSpan w:val="2"/>
            <w:tcBorders/>
            <w:shd w:fill="ffffff"/>
            <w:tcMar>
              <w:start w:w="0" w:type="dxa"/>
              <w:end w:w="0" w:type="dxa"/>
            </w:tcMar>
            <w:tcMar>
              <w:start w:w="0" w:type="dxa"/>
              <w:end w:w="0" w:type="dxa"/>
            </w:tcMar>
          </w:tcPr>
          <w:p>
            <w:pPr>
              <w:autoSpaceDN w:val="0"/>
              <w:autoSpaceDE w:val="0"/>
              <w:widowControl/>
              <w:spacing w:line="197" w:lineRule="auto" w:before="36" w:after="0"/>
              <w:ind w:left="120" w:right="0" w:firstLine="0"/>
              <w:jc w:val="left"/>
            </w:pPr>
            <w:r>
              <w:rPr>
                <w:rFonts w:ascii="" w:hAnsi="" w:eastAsia=""/>
                <w:b w:val="0"/>
                <w:i w:val="0"/>
                <w:color w:val="000000"/>
                <w:sz w:val="20"/>
              </w:rPr>
              <w:t xml:space="preserve">The following Visa types are allowed as Foreign Nationals: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38" w:after="0"/>
              <w:ind w:left="120" w:right="0" w:firstLine="0"/>
              <w:jc w:val="left"/>
            </w:pPr>
            <w:r>
              <w:rPr>
                <w:rFonts w:ascii="" w:hAnsi="" w:eastAsia=""/>
                <w:b w:val="0"/>
                <w:i w:val="0"/>
                <w:color w:val="000000"/>
                <w:sz w:val="20"/>
              </w:rPr>
              <w:t xml:space="preserve">B-1 and B-2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I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O-2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H-2 and H-3 </w:t>
            </w:r>
          </w:p>
        </w:tc>
      </w:tr>
      <w:tr>
        <w:trPr>
          <w:trHeight w:hRule="exact" w:val="26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24"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56" w:after="0"/>
              <w:ind w:left="120" w:right="0" w:firstLine="0"/>
              <w:jc w:val="left"/>
            </w:pPr>
            <w:r>
              <w:rPr>
                <w:rFonts w:ascii="" w:hAnsi="" w:eastAsia=""/>
                <w:b w:val="0"/>
                <w:i w:val="0"/>
                <w:color w:val="000000"/>
                <w:sz w:val="20"/>
              </w:rPr>
              <w:t xml:space="preserve">J-1 and J-2 </w:t>
            </w:r>
          </w:p>
        </w:tc>
      </w:tr>
      <w:tr>
        <w:trPr>
          <w:trHeight w:hRule="exact" w:val="26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P-1 and P-2 </w:t>
            </w:r>
          </w:p>
        </w:tc>
      </w:tr>
      <w:tr>
        <w:trPr>
          <w:trHeight w:hRule="exact" w:val="246"/>
        </w:trPr>
        <w:tc>
          <w:tcPr>
            <w:tcW w:type="dxa" w:w="3120"/>
            <w:vMerge/>
            <w:tcBorders/>
          </w:tcPr>
          <w:p/>
        </w:tc>
        <w:tc>
          <w:tcPr>
            <w:tcW w:type="dxa" w:w="9020"/>
            <w:gridSpan w:val="2"/>
            <w:tcBorders/>
            <w:shd w:fill="ffffff"/>
            <w:tcMar>
              <w:start w:w="0" w:type="dxa"/>
              <w:end w:w="0" w:type="dxa"/>
            </w:tcMar>
            <w:tcMar>
              <w:start w:w="0" w:type="dxa"/>
              <w:end w:w="0" w:type="dxa"/>
            </w:tcMar>
          </w:tcPr>
          <w:p>
            <w:pPr>
              <w:autoSpaceDN w:val="0"/>
              <w:autoSpaceDE w:val="0"/>
              <w:widowControl/>
              <w:spacing w:line="197" w:lineRule="auto" w:before="24" w:after="0"/>
              <w:ind w:left="120" w:right="0" w:firstLine="0"/>
              <w:jc w:val="left"/>
            </w:pPr>
            <w:r>
              <w:rPr>
                <w:rFonts w:ascii="" w:hAnsi="" w:eastAsia=""/>
                <w:b w:val="0"/>
                <w:i w:val="0"/>
                <w:color w:val="000000"/>
                <w:sz w:val="20"/>
              </w:rPr>
              <w:t xml:space="preserve">Copies of the Borrower’s passport and unexpired visa must be obtained. Acceptable alternative </w:t>
            </w:r>
          </w:p>
        </w:tc>
      </w:tr>
    </w:tbl>
    <w:p>
      <w:pPr>
        <w:autoSpaceDN w:val="0"/>
        <w:tabs>
          <w:tab w:pos="2160" w:val="left"/>
        </w:tabs>
        <w:autoSpaceDE w:val="0"/>
        <w:widowControl/>
        <w:spacing w:line="245" w:lineRule="auto" w:before="22" w:after="0"/>
        <w:ind w:left="1800" w:right="1440" w:firstLine="0"/>
        <w:jc w:val="left"/>
      </w:pPr>
      <w:r>
        <w:tab/>
      </w:r>
      <w:r>
        <w:rPr>
          <w:rFonts w:ascii="" w:hAnsi="" w:eastAsia=""/>
          <w:b w:val="0"/>
          <w:i w:val="0"/>
          <w:color w:val="000000"/>
          <w:sz w:val="20"/>
        </w:rPr>
        <w:t xml:space="preserve">documentation to verify visa classification is an I-797 form (Notice of Action) with valid extension dates </w:t>
      </w:r>
      <w:r>
        <w:tab/>
      </w:r>
      <w:r>
        <w:rPr>
          <w:rFonts w:ascii="" w:hAnsi="" w:eastAsia=""/>
          <w:b w:val="0"/>
          <w:i w:val="0"/>
          <w:color w:val="000000"/>
          <w:sz w:val="20"/>
        </w:rPr>
        <w:t xml:space="preserve">and an I-94 form (Arrival/Departure Record). Borrowers unable to provide evidence of lawful residency </w:t>
      </w:r>
      <w:r>
        <w:tab/>
      </w:r>
      <w:r>
        <w:rPr>
          <w:rFonts w:ascii="" w:hAnsi="" w:eastAsia=""/>
          <w:b w:val="0"/>
          <w:i w:val="0"/>
          <w:color w:val="000000"/>
          <w:sz w:val="20"/>
        </w:rPr>
        <w:t xml:space="preserve">status in the U.S. are not eligible for financing </w:t>
      </w:r>
      <w:r>
        <w:br/>
      </w:r>
      <w:r>
        <w:rPr>
          <w:rFonts w:ascii="" w:hAnsi="" w:eastAsia=""/>
          <w:b w:val="0"/>
          <w:i w:val="0"/>
          <w:color w:val="000000"/>
          <w:sz w:val="20"/>
        </w:rPr>
        <w:t>▪​</w:t>
      </w:r>
      <w:r>
        <w:tab/>
      </w:r>
      <w:r>
        <w:rPr>
          <w:rFonts w:ascii="" w:hAnsi="" w:eastAsia=""/>
          <w:b w:val="0"/>
          <w:i w:val="0"/>
          <w:color w:val="000000"/>
          <w:sz w:val="20"/>
        </w:rPr>
        <w:t xml:space="preserve">If the visa will expire within six (6) months of the loan application, it is acceptable to obtain a letter from </w:t>
      </w:r>
      <w:r>
        <w:tab/>
      </w:r>
      <w:r>
        <w:rPr>
          <w:rFonts w:ascii="" w:hAnsi="" w:eastAsia=""/>
          <w:b w:val="0"/>
          <w:i w:val="0"/>
          <w:color w:val="000000"/>
          <w:sz w:val="20"/>
        </w:rPr>
        <w:t xml:space="preserve">the employer documenting the Borrower’s continued employment and continued visa renewal </w:t>
      </w:r>
      <w:r>
        <w:tab/>
      </w:r>
      <w:r>
        <w:rPr>
          <w:rFonts w:ascii="" w:hAnsi="" w:eastAsia=""/>
          <w:b w:val="0"/>
          <w:i w:val="0"/>
          <w:color w:val="000000"/>
          <w:sz w:val="20"/>
        </w:rPr>
        <w:t xml:space="preserve">sponsorship (employer on the loan application must be the same as on the unexpired visa) </w:t>
      </w:r>
      <w:r>
        <w:br/>
      </w:r>
      <w:r>
        <w:rPr>
          <w:rFonts w:ascii="" w:hAnsi="" w:eastAsia=""/>
          <w:b w:val="0"/>
          <w:i w:val="0"/>
          <w:color w:val="000000"/>
          <w:sz w:val="20"/>
        </w:rPr>
        <w:t>▪​</w:t>
      </w:r>
      <w:r>
        <w:br/>
      </w:r>
      <w:r>
        <w:tab/>
      </w:r>
      <w:r>
        <w:rPr>
          <w:rFonts w:ascii="" w:hAnsi="" w:eastAsia=""/>
          <w:b w:val="0"/>
          <w:i w:val="0"/>
          <w:color w:val="000000"/>
          <w:sz w:val="20"/>
        </w:rPr>
        <w:t xml:space="preserve">If a non-U.S. citizen is borrowing with a U.S. citizen, it does not eliminate any of the Foreign National </w:t>
      </w:r>
      <w:r>
        <w:tab/>
      </w:r>
      <w:r>
        <w:rPr>
          <w:rFonts w:ascii="" w:hAnsi="" w:eastAsia=""/>
          <w:b w:val="0"/>
          <w:i w:val="0"/>
          <w:color w:val="000000"/>
          <w:sz w:val="20"/>
        </w:rPr>
        <w:t xml:space="preserve">requirements set forth in these guides. Individuals in possession of spouse or family member visas are to </w:t>
      </w:r>
      <w:r>
        <w:tab/>
      </w:r>
      <w:r>
        <w:rPr>
          <w:rFonts w:ascii="" w:hAnsi="" w:eastAsia=""/>
          <w:b w:val="0"/>
          <w:i w:val="0"/>
          <w:color w:val="000000"/>
          <w:sz w:val="20"/>
        </w:rPr>
        <w:t xml:space="preserve">qualify as Co-Borrowers only.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Borrowers who are residents of countries which participate in the State Department’s Visa Waiver </w:t>
      </w:r>
    </w:p>
    <w:p>
      <w:pPr>
        <w:autoSpaceDN w:val="0"/>
        <w:autoSpaceDE w:val="0"/>
        <w:widowControl/>
        <w:spacing w:line="218" w:lineRule="auto" w:before="716" w:after="0"/>
        <w:ind w:left="0" w:right="0" w:firstLine="0"/>
        <w:jc w:val="center"/>
      </w:pPr>
      <w:r>
        <w:rPr>
          <w:rFonts w:ascii="" w:hAnsi="" w:eastAsia=""/>
          <w:b w:val="0"/>
          <w:i w:val="0"/>
          <w:color w:val="4F81BD"/>
          <w:sz w:val="22"/>
        </w:rPr>
        <w:t xml:space="preserve">4 </w:t>
      </w:r>
    </w:p>
    <w:p>
      <w:pPr>
        <w:sectPr>
          <w:pgSz w:w="12240" w:h="15840"/>
          <w:pgMar w:top="0" w:right="0" w:bottom="0" w:left="0" w:header="720" w:footer="720" w:gutter="0"/>
          <w:cols/>
          <w:docGrid w:linePitch="360"/>
        </w:sectPr>
      </w:pPr>
    </w:p>
    <w:p>
      <w:pPr>
        <w:autoSpaceDN w:val="0"/>
        <w:tabs>
          <w:tab w:pos="2160" w:val="left"/>
        </w:tabs>
        <w:autoSpaceDE w:val="0"/>
        <w:widowControl/>
        <w:spacing w:line="245" w:lineRule="auto" w:before="1484" w:after="0"/>
        <w:ind w:left="1800" w:right="1584" w:firstLine="0"/>
        <w:jc w:val="left"/>
      </w:pPr>
      <w:r>
        <w:tab/>
      </w:r>
      <w:r>
        <w:rPr>
          <w:rFonts w:ascii="" w:hAnsi="" w:eastAsia=""/>
          <w:b w:val="0"/>
          <w:i w:val="0"/>
          <w:color w:val="000000"/>
          <w:sz w:val="20"/>
        </w:rPr>
        <w:t xml:space="preserve">Program (VWP) will not be required to provide a valid visa. Participating countries can be verified through the U.S. Department of State website at https://travel.state.gov/content/travel/en/us-visas/tourism-visit/visa-waiver-program.html ▪​Alpha Everest Capital does not take loans originated to citizens of Venezuela or any other country or jurisdiction identified as not being allowed to transact business in the U.S. </w:t>
      </w:r>
      <w:r>
        <w:tab/>
      </w:r>
      <w:r>
        <w:rPr>
          <w:rFonts w:ascii="" w:hAnsi="" w:eastAsia=""/>
          <w:b w:val="0"/>
          <w:i w:val="0"/>
          <w:color w:val="000000"/>
          <w:sz w:val="20"/>
        </w:rPr>
        <w:t xml:space="preserve"/>
      </w:r>
      <w:r>
        <w:br/>
      </w:r>
      <w:r>
        <w:tab/>
      </w:r>
      <w:r>
        <w:rPr>
          <w:rFonts w:ascii="" w:hAnsi="" w:eastAsia=""/>
          <w:b w:val="0"/>
          <w:i w:val="0"/>
          <w:color w:val="000000"/>
          <w:sz w:val="20"/>
        </w:rPr>
        <w:t xml:space="preserve"/>
      </w:r>
      <w:r>
        <w:br/>
      </w:r>
      <w:r>
        <w:rPr>
          <w:rFonts w:ascii="" w:hAnsi="" w:eastAsia=""/>
          <w:b w:val="0"/>
          <w:i w:val="0"/>
          <w:color w:val="000000"/>
          <w:sz w:val="20"/>
        </w:rPr>
        <w:t/>
      </w:r>
      <w:r>
        <w:tab/>
      </w:r>
      <w:r>
        <w:rPr>
          <w:rFonts w:ascii="" w:hAnsi="" w:eastAsia=""/>
          <w:b w:val="0"/>
          <w:i w:val="0"/>
          <w:color w:val="000000"/>
          <w:sz w:val="20"/>
        </w:rPr>
        <w:t xml:space="preserve"/>
      </w:r>
      <w:r>
        <w:tab/>
      </w:r>
      <w:r>
        <w:rPr>
          <w:rFonts w:ascii="" w:hAnsi="" w:eastAsia=""/>
          <w:b w:val="0"/>
          <w:i w:val="0"/>
          <w:color w:val="000000"/>
          <w:sz w:val="20"/>
        </w:rPr>
        <w:t xml:space="preserve"/>
      </w:r>
    </w:p>
    <w:p>
      <w:pPr>
        <w:autoSpaceDN w:val="0"/>
        <w:tabs>
          <w:tab w:pos="1800" w:val="left"/>
          <w:tab w:pos="2160" w:val="left"/>
        </w:tabs>
        <w:autoSpaceDE w:val="0"/>
        <w:widowControl/>
        <w:spacing w:line="245" w:lineRule="auto" w:before="52" w:after="0"/>
        <w:ind w:left="1590" w:right="1584" w:firstLine="0"/>
        <w:jc w:val="left"/>
      </w:pPr>
      <w:r>
        <w:rPr>
          <w:rFonts w:ascii="" w:hAnsi="" w:eastAsia=""/>
          <w:b/>
          <w:i w:val="0"/>
          <w:color w:val="000000"/>
          <w:sz w:val="23"/>
        </w:rPr>
        <w:t xml:space="preserve">Credit Requirements </w:t>
      </w:r>
      <w:r>
        <w:br/>
      </w:r>
      <w:r>
        <w:tab/>
      </w:r>
      <w:r>
        <w:rPr>
          <w:rFonts w:ascii="" w:hAnsi="" w:eastAsia=""/>
          <w:b w:val="0"/>
          <w:i w:val="0"/>
          <w:color w:val="000000"/>
          <w:sz w:val="20"/>
        </w:rPr>
        <w:t>▪​</w:t>
      </w:r>
      <w:r>
        <w:tab/>
      </w:r>
      <w:r>
        <w:rPr>
          <w:rFonts w:ascii="" w:hAnsi="" w:eastAsia=""/>
          <w:b w:val="0"/>
          <w:i w:val="0"/>
          <w:color w:val="000000"/>
          <w:sz w:val="20"/>
        </w:rPr>
        <w:t xml:space="preserve">A U.S. credit report should be obtained for each Foreign National Borrower with a valid Social Security </w:t>
      </w:r>
      <w:r>
        <w:tab/>
      </w:r>
      <w:r>
        <w:tab/>
      </w:r>
      <w:r>
        <w:rPr>
          <w:rFonts w:ascii="" w:hAnsi="" w:eastAsia=""/>
          <w:b w:val="0"/>
          <w:i w:val="0"/>
          <w:color w:val="000000"/>
          <w:sz w:val="20"/>
        </w:rPr>
        <w:t xml:space="preserve">Number (SSN) </w:t>
      </w:r>
      <w:r>
        <w:br/>
      </w:r>
      <w:r>
        <w:tab/>
      </w:r>
      <w:r>
        <w:rPr>
          <w:rFonts w:ascii="" w:hAnsi="" w:eastAsia=""/>
          <w:b w:val="0"/>
          <w:i w:val="0"/>
          <w:color w:val="000000"/>
          <w:sz w:val="20"/>
        </w:rPr>
        <w:t>▪​</w:t>
      </w:r>
      <w:r>
        <w:tab/>
      </w:r>
      <w:r>
        <w:rPr>
          <w:rFonts w:ascii="" w:hAnsi="" w:eastAsia=""/>
          <w:b w:val="0"/>
          <w:i w:val="0"/>
          <w:color w:val="000000"/>
          <w:sz w:val="20"/>
        </w:rPr>
        <w:t xml:space="preserve">For Borrowers without a valid Social Security Number, an Individual Taxpayer Identification Number </w:t>
      </w:r>
      <w:r>
        <w:tab/>
      </w:r>
      <w:r>
        <w:tab/>
      </w:r>
      <w:r>
        <w:rPr>
          <w:rFonts w:ascii="" w:hAnsi="" w:eastAsia=""/>
          <w:b w:val="0"/>
          <w:i w:val="0"/>
          <w:color w:val="000000"/>
          <w:sz w:val="20"/>
        </w:rPr>
        <w:t xml:space="preserve">(ITIN) is also allowed. An ITIN is acceptable if the Borrower has the ITIN for the purpose of reporting </w:t>
      </w:r>
      <w:r>
        <w:tab/>
      </w:r>
      <w:r>
        <w:tab/>
      </w:r>
      <w:r>
        <w:rPr>
          <w:rFonts w:ascii="" w:hAnsi="" w:eastAsia=""/>
          <w:b w:val="0"/>
          <w:i w:val="0"/>
          <w:color w:val="000000"/>
          <w:sz w:val="20"/>
        </w:rPr>
        <w:t xml:space="preserve">taxes from passive income sources and is not employed in the US. Foreign Nationals who do not have a </w:t>
      </w:r>
      <w:r>
        <w:tab/>
      </w:r>
      <w:r>
        <w:tab/>
      </w:r>
      <w:r>
        <w:rPr>
          <w:rFonts w:ascii="" w:hAnsi="" w:eastAsia=""/>
          <w:b w:val="0"/>
          <w:i w:val="0"/>
          <w:color w:val="000000"/>
          <w:sz w:val="20"/>
        </w:rPr>
        <w:t xml:space="preserve">valid SSN or ITIN may still proceed under the Foreign National program with all other requirements still </w:t>
      </w:r>
      <w:r>
        <w:tab/>
      </w:r>
      <w:r>
        <w:tab/>
      </w:r>
      <w:r>
        <w:rPr>
          <w:rFonts w:ascii="" w:hAnsi="" w:eastAsia=""/>
          <w:b w:val="0"/>
          <w:i w:val="0"/>
          <w:color w:val="000000"/>
          <w:sz w:val="20"/>
        </w:rPr>
        <w:t xml:space="preserve">applicable </w:t>
      </w:r>
      <w:r>
        <w:br/>
      </w:r>
      <w:r>
        <w:rPr>
          <w:rFonts w:ascii="" w:hAnsi="" w:eastAsia=""/>
          <w:b/>
          <w:i w:val="0"/>
          <w:color w:val="000000"/>
          <w:sz w:val="23"/>
        </w:rPr>
        <w:t xml:space="preserve">Qualifying U.S. Credit </w:t>
      </w:r>
      <w:r>
        <w:br/>
      </w:r>
      <w:r>
        <w:tab/>
      </w:r>
      <w:r>
        <w:rPr>
          <w:rFonts w:ascii="" w:hAnsi="" w:eastAsia=""/>
          <w:b w:val="0"/>
          <w:i w:val="0"/>
          <w:color w:val="000000"/>
          <w:sz w:val="20"/>
        </w:rPr>
        <w:t>▪​</w:t>
      </w:r>
      <w:r>
        <w:tab/>
      </w:r>
      <w:r>
        <w:rPr>
          <w:rFonts w:ascii="" w:hAnsi="" w:eastAsia=""/>
          <w:b w:val="0"/>
          <w:i w:val="0"/>
          <w:color w:val="000000"/>
          <w:sz w:val="20"/>
        </w:rPr>
        <w:t xml:space="preserve">Qualifying U.S. Credit refers to non-U.S. citizen Borrowers who meet standard tradeline requirements </w:t>
      </w:r>
      <w:r>
        <w:rPr>
          <w:rFonts w:ascii="" w:hAnsi="" w:eastAsia=""/>
          <w:b/>
          <w:i w:val="0"/>
          <w:color w:val="000000"/>
          <w:sz w:val="23"/>
        </w:rPr>
        <w:t xml:space="preserve">Foreign National Program Restrictions </w:t>
      </w:r>
      <w:r>
        <w:br/>
      </w:r>
      <w:r>
        <w:tab/>
      </w:r>
      <w:r>
        <w:rPr>
          <w:rFonts w:ascii="" w:hAnsi="" w:eastAsia=""/>
          <w:b w:val="0"/>
          <w:i w:val="0"/>
          <w:color w:val="000000"/>
          <w:sz w:val="20"/>
        </w:rPr>
        <w:t>▪​</w:t>
      </w:r>
      <w:r>
        <w:tab/>
      </w:r>
      <w:r>
        <w:rPr>
          <w:rFonts w:ascii="" w:hAnsi="" w:eastAsia=""/>
          <w:b w:val="0"/>
          <w:i w:val="0"/>
          <w:color w:val="000000"/>
          <w:sz w:val="20"/>
        </w:rPr>
        <w:t xml:space="preserve">Must vest through a U.S.-domiciled entity </w:t>
      </w:r>
      <w:r>
        <w:br/>
      </w:r>
      <w:r>
        <w:tab/>
      </w:r>
      <w:r>
        <w:rPr>
          <w:rFonts w:ascii="" w:hAnsi="" w:eastAsia=""/>
          <w:b w:val="0"/>
          <w:i w:val="0"/>
          <w:color w:val="000000"/>
          <w:sz w:val="20"/>
        </w:rPr>
        <w:t>▪​</w:t>
      </w:r>
      <w:r>
        <w:tab/>
      </w:r>
      <w:r>
        <w:rPr>
          <w:rFonts w:ascii="" w:hAnsi="" w:eastAsia=""/>
          <w:b w:val="0"/>
          <w:i w:val="0"/>
          <w:color w:val="000000"/>
          <w:sz w:val="20"/>
        </w:rPr>
        <w:t xml:space="preserve">Maximum 70% LTV (Purchase) / 65% LTV (Refinance) </w:t>
      </w:r>
      <w:r>
        <w:br/>
      </w:r>
      <w:r>
        <w:tab/>
      </w:r>
      <w:r>
        <w:rPr>
          <w:rFonts w:ascii="" w:hAnsi="" w:eastAsia=""/>
          <w:b w:val="0"/>
          <w:i w:val="0"/>
          <w:color w:val="000000"/>
          <w:sz w:val="20"/>
        </w:rPr>
        <w:t>▪​</w:t>
      </w:r>
      <w:r>
        <w:tab/>
      </w:r>
      <w:r>
        <w:rPr>
          <w:rFonts w:ascii="" w:hAnsi="" w:eastAsia=""/>
          <w:b w:val="0"/>
          <w:i w:val="0"/>
          <w:color w:val="000000"/>
          <w:sz w:val="20"/>
        </w:rPr>
        <w:t xml:space="preserve">Maximum loan amount $1,000,000 </w:t>
      </w:r>
      <w:r>
        <w:br/>
      </w:r>
      <w:r>
        <w:tab/>
      </w:r>
      <w:r>
        <w:rPr>
          <w:rFonts w:ascii="" w:hAnsi="" w:eastAsia=""/>
          <w:b w:val="0"/>
          <w:i w:val="0"/>
          <w:color w:val="000000"/>
          <w:sz w:val="20"/>
        </w:rPr>
        <w:t>▪​</w:t>
      </w:r>
      <w:r>
        <w:tab/>
      </w:r>
      <w:r>
        <w:rPr>
          <w:rFonts w:ascii="" w:hAnsi="" w:eastAsia=""/>
          <w:b w:val="0"/>
          <w:i w:val="0"/>
          <w:color w:val="000000"/>
          <w:sz w:val="20"/>
        </w:rPr>
        <w:t xml:space="preserve">One (1) month U.S. bank statement required prior to closing </w:t>
      </w:r>
    </w:p>
    <w:p>
      <w:pPr>
        <w:autoSpaceDN w:val="0"/>
        <w:tabs>
          <w:tab w:pos="1800" w:val="left"/>
          <w:tab w:pos="2160" w:val="left"/>
          <w:tab w:pos="2520" w:val="left"/>
        </w:tabs>
        <w:autoSpaceDE w:val="0"/>
        <w:widowControl/>
        <w:spacing w:line="245" w:lineRule="auto" w:before="296" w:after="0"/>
        <w:ind w:left="1590" w:right="1440" w:firstLine="0"/>
        <w:jc w:val="left"/>
      </w:pPr>
      <w:r>
        <w:rPr>
          <w:rFonts w:ascii="" w:hAnsi="" w:eastAsia=""/>
          <w:b/>
          <w:i w:val="0"/>
          <w:color w:val="000000"/>
          <w:sz w:val="23"/>
        </w:rPr>
        <w:t xml:space="preserve">3.4 Entity Vesting for Limited Partnership (LP), Corporations (Corp) and Limited Liability </w:t>
      </w:r>
      <w:r>
        <w:rPr>
          <w:rFonts w:ascii="" w:hAnsi="" w:eastAsia=""/>
          <w:b/>
          <w:i w:val="0"/>
          <w:color w:val="000000"/>
          <w:sz w:val="23"/>
        </w:rPr>
        <w:t xml:space="preserve">Companies (LLCs), Limited Liability Partnerships (LLPs) and Revocable Trusts </w:t>
      </w:r>
      <w:r>
        <w:br/>
      </w:r>
      <w:r>
        <w:tab/>
      </w:r>
      <w:r>
        <w:rPr>
          <w:rFonts w:ascii="" w:hAnsi="" w:eastAsia=""/>
          <w:b w:val="0"/>
          <w:i w:val="0"/>
          <w:color w:val="000000"/>
          <w:sz w:val="20"/>
        </w:rPr>
        <w:t>▪​</w:t>
      </w:r>
      <w:r>
        <w:tab/>
      </w:r>
      <w:r>
        <w:rPr>
          <w:rFonts w:ascii="" w:hAnsi="" w:eastAsia=""/>
          <w:b w:val="0"/>
          <w:i w:val="0"/>
          <w:color w:val="000000"/>
          <w:sz w:val="20"/>
        </w:rPr>
        <w:t xml:space="preserve">Properties vested in any of these manners are limited to Investment and Business Purpose and the </w:t>
      </w:r>
      <w:r>
        <w:tab/>
      </w:r>
      <w:r>
        <w:tab/>
      </w:r>
      <w:r>
        <w:rPr>
          <w:rFonts w:ascii="" w:hAnsi="" w:eastAsia=""/>
          <w:b w:val="0"/>
          <w:i w:val="0"/>
          <w:color w:val="000000"/>
          <w:sz w:val="20"/>
        </w:rPr>
        <w:t xml:space="preserve">following requirements must be met: </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Entities must be formed for the purpose of the ownership and management of Real Estate </w:t>
      </w:r>
      <w:r>
        <w:tab/>
      </w:r>
      <w:r>
        <w:tab/>
      </w:r>
      <w:r>
        <w:rPr>
          <w:rFonts w:ascii="" w:hAnsi="" w:eastAsia=""/>
          <w:b w:val="0"/>
          <w:i w:val="0"/>
          <w:color w:val="000000"/>
          <w:sz w:val="20"/>
        </w:rPr>
        <w:t>–</w:t>
      </w:r>
      <w:r>
        <w:rPr>
          <w:rFonts w:ascii="" w:hAnsi="" w:eastAsia=""/>
          <w:b w:val="0"/>
          <w:i w:val="0"/>
          <w:color w:val="000000"/>
          <w:sz w:val="20"/>
        </w:rPr>
        <w:t>​</w:t>
      </w:r>
      <w:r>
        <w:br/>
      </w:r>
      <w:r>
        <w:tab/>
      </w:r>
      <w:r>
        <w:rPr>
          <w:rFonts w:ascii="" w:hAnsi="" w:eastAsia=""/>
          <w:b w:val="0"/>
          <w:i w:val="0"/>
          <w:color w:val="000000"/>
          <w:sz w:val="20"/>
        </w:rPr>
        <w:t xml:space="preserve">Max of four (4) entity owners allowed on the transaction </w:t>
      </w:r>
      <w:r>
        <w:tab/>
      </w:r>
      <w:r>
        <w:rPr>
          <w:rFonts w:ascii="" w:hAnsi="" w:eastAsia=""/>
          <w:b w:val="0"/>
          <w:i w:val="0"/>
          <w:color w:val="000000"/>
          <w:sz w:val="20"/>
        </w:rPr>
        <w:t>▪​</w:t>
      </w:r>
      <w:r>
        <w:tab/>
      </w:r>
      <w:r>
        <w:rPr>
          <w:rFonts w:ascii="" w:hAnsi="" w:eastAsia=""/>
          <w:b w:val="0"/>
          <w:i w:val="0"/>
          <w:color w:val="000000"/>
          <w:sz w:val="20"/>
        </w:rPr>
        <w:t xml:space="preserve">All Borrower(s) must execute the Occupancy Certification or similar form </w:t>
      </w:r>
      <w:r>
        <w:br/>
      </w:r>
      <w:r>
        <w:tab/>
      </w:r>
      <w:r>
        <w:rPr>
          <w:rFonts w:ascii="" w:hAnsi="" w:eastAsia=""/>
          <w:b w:val="0"/>
          <w:i w:val="0"/>
          <w:color w:val="000000"/>
          <w:sz w:val="20"/>
        </w:rPr>
        <w:t>▪​</w:t>
      </w:r>
      <w:r>
        <w:tab/>
      </w:r>
      <w:r>
        <w:rPr>
          <w:rFonts w:ascii="" w:hAnsi="" w:eastAsia=""/>
          <w:b w:val="0"/>
          <w:i w:val="0"/>
          <w:color w:val="000000"/>
          <w:sz w:val="20"/>
        </w:rPr>
        <w:t xml:space="preserve">For DSCR Borrower(s) obtaining a Rate/Term or Cash Out Refinance loan, the Borrower must execute the </w:t>
      </w:r>
      <w:r>
        <w:tab/>
      </w:r>
      <w:r>
        <w:tab/>
      </w:r>
      <w:r>
        <w:rPr>
          <w:rFonts w:ascii="" w:hAnsi="" w:eastAsia=""/>
          <w:b w:val="0"/>
          <w:i w:val="0"/>
          <w:color w:val="000000"/>
          <w:sz w:val="20"/>
        </w:rPr>
        <w:t xml:space="preserve">Business Purpose &amp; Occupancy Affidavit </w:t>
      </w:r>
      <w:r>
        <w:br/>
      </w:r>
      <w:r>
        <w:tab/>
      </w:r>
      <w:r>
        <w:rPr>
          <w:rFonts w:ascii="" w:hAnsi="" w:eastAsia=""/>
          <w:b w:val="0"/>
          <w:i w:val="0"/>
          <w:color w:val="000000"/>
          <w:sz w:val="20"/>
        </w:rPr>
        <w:t>▪​</w:t>
      </w:r>
      <w:r>
        <w:tab/>
      </w:r>
      <w:r>
        <w:rPr>
          <w:rFonts w:ascii="" w:hAnsi="" w:eastAsia=""/>
          <w:b w:val="0"/>
          <w:i w:val="0"/>
          <w:color w:val="000000"/>
          <w:sz w:val="20"/>
        </w:rPr>
        <w:t xml:space="preserve">Guarantor(s) must be a manager or majority owner (25% or greater) of the business entity and is subject </w:t>
      </w:r>
      <w:r>
        <w:tab/>
      </w:r>
      <w:r>
        <w:tab/>
      </w:r>
      <w:r>
        <w:rPr>
          <w:rFonts w:ascii="" w:hAnsi="" w:eastAsia=""/>
          <w:b w:val="0"/>
          <w:i w:val="0"/>
          <w:color w:val="000000"/>
          <w:sz w:val="20"/>
        </w:rPr>
        <w:t xml:space="preserve">to the same underwriting requirements as an individual Borrower </w:t>
      </w:r>
      <w:r>
        <w:br/>
      </w:r>
      <w:r>
        <w:tab/>
      </w:r>
      <w:r>
        <w:rPr>
          <w:rFonts w:ascii="" w:hAnsi="" w:eastAsia=""/>
          <w:b w:val="0"/>
          <w:i w:val="0"/>
          <w:color w:val="000000"/>
          <w:sz w:val="20"/>
        </w:rPr>
        <w:t>▪​</w:t>
      </w:r>
      <w:r>
        <w:tab/>
      </w:r>
      <w:r>
        <w:rPr>
          <w:rFonts w:ascii="" w:hAnsi="" w:eastAsia=""/>
          <w:b w:val="0"/>
          <w:i w:val="0"/>
          <w:color w:val="000000"/>
          <w:sz w:val="20"/>
        </w:rPr>
        <w:t xml:space="preserve">Personal Guaranty (s) required if Note is not being signed individually and must sign all closing </w:t>
      </w:r>
      <w:r>
        <w:tab/>
      </w:r>
      <w:r>
        <w:tab/>
      </w:r>
      <w:r>
        <w:rPr>
          <w:rFonts w:ascii="" w:hAnsi="" w:eastAsia=""/>
          <w:b w:val="0"/>
          <w:i w:val="0"/>
          <w:color w:val="000000"/>
          <w:sz w:val="20"/>
        </w:rPr>
        <w:t xml:space="preserve">documents and disclosures. Limited or non-recourse loans are available case-by-case for experienced </w:t>
      </w:r>
      <w:r>
        <w:tab/>
      </w:r>
      <w:r>
        <w:tab/>
      </w:r>
      <w:r>
        <w:rPr>
          <w:rFonts w:ascii="" w:hAnsi="" w:eastAsia=""/>
          <w:b w:val="0"/>
          <w:i w:val="0"/>
          <w:color w:val="000000"/>
          <w:sz w:val="20"/>
        </w:rPr>
        <w:t>sponsors at a 5% LTV reduction.</w:t>
      </w:r>
      <w:r>
        <w:rPr>
          <w:rFonts w:ascii="" w:hAnsi="" w:eastAsia=""/>
          <w:b w:val="0"/>
          <w:i w:val="0"/>
          <w:color w:val="000000"/>
          <w:sz w:val="20"/>
        </w:rPr>
        <w:t xml:space="preserve">Consent of Spouse Form will be required in Community Property States </w:t>
      </w:r>
      <w:r>
        <w:tab/>
      </w:r>
      <w:r>
        <w:tab/>
      </w:r>
      <w:r>
        <w:rPr>
          <w:rFonts w:ascii="" w:hAnsi="" w:eastAsia=""/>
          <w:b w:val="0"/>
          <w:i w:val="0"/>
          <w:color w:val="000000"/>
          <w:sz w:val="20"/>
        </w:rPr>
        <w:t xml:space="preserve">when loan is signed with a Personal Guaranty and Spouse is not included on the loan and form must be </w:t>
      </w:r>
      <w:r>
        <w:tab/>
      </w:r>
      <w:r>
        <w:tab/>
      </w:r>
      <w:r>
        <w:rPr>
          <w:rFonts w:ascii="" w:hAnsi="" w:eastAsia=""/>
          <w:b w:val="0"/>
          <w:i w:val="0"/>
          <w:color w:val="000000"/>
          <w:sz w:val="20"/>
        </w:rPr>
        <w:t xml:space="preserve">executed at loan closing and dated the same date as the Note </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The following LLC documents are required: </w:t>
      </w:r>
    </w:p>
    <w:p>
      <w:pPr>
        <w:autoSpaceDN w:val="0"/>
        <w:autoSpaceDE w:val="0"/>
        <w:widowControl/>
        <w:spacing w:line="245" w:lineRule="auto" w:before="130" w:after="0"/>
        <w:ind w:left="2520" w:right="3600" w:firstLine="0"/>
        <w:jc w:val="left"/>
      </w:pPr>
      <w:r>
        <w:rPr>
          <w:rFonts w:ascii="" w:hAnsi="" w:eastAsia=""/>
          <w:b w:val="0"/>
          <w:i w:val="0"/>
          <w:color w:val="000000"/>
          <w:sz w:val="20"/>
        </w:rPr>
        <w:t>1.</w:t>
      </w:r>
      <w:r>
        <w:rPr>
          <w:rFonts w:ascii="" w:hAnsi="" w:eastAsia=""/>
          <w:b w:val="0"/>
          <w:i w:val="0"/>
          <w:color w:val="000000"/>
          <w:sz w:val="20"/>
        </w:rPr>
        <w:t>​</w:t>
      </w:r>
      <w:r>
        <w:rPr>
          <w:rFonts w:ascii="" w:hAnsi="" w:eastAsia=""/>
          <w:b w:val="0"/>
          <w:i w:val="0"/>
          <w:color w:val="000000"/>
          <w:sz w:val="20"/>
        </w:rPr>
        <w:t xml:space="preserve">Articles of Incorporation </w:t>
      </w:r>
      <w:r>
        <w:br/>
      </w:r>
      <w:r>
        <w:rPr>
          <w:rFonts w:ascii="" w:hAnsi="" w:eastAsia=""/>
          <w:b w:val="0"/>
          <w:i w:val="0"/>
          <w:color w:val="000000"/>
          <w:sz w:val="20"/>
        </w:rPr>
        <w:t>2.</w:t>
      </w:r>
      <w:r>
        <w:rPr>
          <w:rFonts w:ascii="" w:hAnsi="" w:eastAsia=""/>
          <w:b w:val="0"/>
          <w:i w:val="0"/>
          <w:color w:val="000000"/>
          <w:sz w:val="20"/>
        </w:rPr>
        <w:t>​</w:t>
      </w:r>
      <w:r>
        <w:rPr>
          <w:rFonts w:ascii="" w:hAnsi="" w:eastAsia=""/>
          <w:b w:val="0"/>
          <w:i w:val="0"/>
          <w:color w:val="000000"/>
          <w:sz w:val="20"/>
        </w:rPr>
        <w:t xml:space="preserve">Operating Agreement </w:t>
      </w:r>
      <w:r>
        <w:br/>
      </w:r>
      <w:r>
        <w:rPr>
          <w:rFonts w:ascii="" w:hAnsi="" w:eastAsia=""/>
          <w:b w:val="0"/>
          <w:i w:val="0"/>
          <w:color w:val="000000"/>
          <w:sz w:val="20"/>
        </w:rPr>
        <w:t>3.</w:t>
      </w:r>
      <w:r>
        <w:rPr>
          <w:rFonts w:ascii="" w:hAnsi="" w:eastAsia=""/>
          <w:b w:val="0"/>
          <w:i w:val="0"/>
          <w:color w:val="000000"/>
          <w:sz w:val="20"/>
        </w:rPr>
        <w:t>​</w:t>
      </w:r>
      <w:r>
        <w:rPr>
          <w:rFonts w:ascii="" w:hAnsi="" w:eastAsia=""/>
          <w:b w:val="0"/>
          <w:i w:val="0"/>
          <w:color w:val="000000"/>
          <w:sz w:val="20"/>
        </w:rPr>
        <w:t xml:space="preserve">Tax Identification Number </w:t>
      </w:r>
      <w:r>
        <w:br/>
      </w:r>
      <w:r>
        <w:rPr>
          <w:rFonts w:ascii="" w:hAnsi="" w:eastAsia=""/>
          <w:b w:val="0"/>
          <w:i w:val="0"/>
          <w:color w:val="000000"/>
          <w:sz w:val="20"/>
        </w:rPr>
        <w:t>4.</w:t>
      </w:r>
      <w:r>
        <w:rPr>
          <w:rFonts w:ascii="" w:hAnsi="" w:eastAsia=""/>
          <w:b w:val="0"/>
          <w:i w:val="0"/>
          <w:color w:val="000000"/>
          <w:sz w:val="20"/>
        </w:rPr>
        <w:t>​</w:t>
      </w:r>
      <w:r>
        <w:rPr>
          <w:rFonts w:ascii="" w:hAnsi="" w:eastAsia=""/>
          <w:b w:val="0"/>
          <w:i w:val="0"/>
          <w:color w:val="000000"/>
          <w:sz w:val="20"/>
        </w:rPr>
        <w:t xml:space="preserve">Certificate of Good Standing – must be dated within 60 days of closing </w:t>
      </w:r>
    </w:p>
    <w:p>
      <w:pPr>
        <w:autoSpaceDN w:val="0"/>
        <w:tabs>
          <w:tab w:pos="1800" w:val="left"/>
          <w:tab w:pos="2160" w:val="left"/>
        </w:tabs>
        <w:autoSpaceDE w:val="0"/>
        <w:widowControl/>
        <w:spacing w:line="245" w:lineRule="auto" w:before="330" w:after="0"/>
        <w:ind w:left="1440" w:right="2304" w:firstLine="0"/>
        <w:jc w:val="left"/>
      </w:pPr>
      <w:r>
        <w:rPr>
          <w:rFonts w:ascii="" w:hAnsi="" w:eastAsia=""/>
          <w:b/>
          <w:i w:val="0"/>
          <w:color w:val="000000"/>
          <w:sz w:val="23"/>
        </w:rPr>
        <w:t xml:space="preserve">3.5 First time home buyer </w:t>
      </w:r>
      <w:r>
        <w:br/>
      </w:r>
      <w:r>
        <w:tab/>
      </w:r>
      <w:r>
        <w:rPr>
          <w:rFonts w:ascii="" w:hAnsi="" w:eastAsia=""/>
          <w:b w:val="0"/>
          <w:i w:val="0"/>
          <w:color w:val="000000"/>
          <w:sz w:val="20"/>
        </w:rPr>
        <w:t>▪​</w:t>
      </w:r>
      <w:r>
        <w:tab/>
      </w:r>
      <w:r>
        <w:rPr>
          <w:rFonts w:ascii="" w:hAnsi="" w:eastAsia=""/>
          <w:b w:val="0"/>
          <w:i w:val="0"/>
          <w:color w:val="000000"/>
          <w:sz w:val="20"/>
        </w:rPr>
        <w:t xml:space="preserve">First time home buyers (FTHB) are individuals that have not owned a home or had a residential </w:t>
      </w:r>
      <w:r>
        <w:tab/>
      </w:r>
      <w:r>
        <w:tab/>
      </w:r>
      <w:r>
        <w:rPr>
          <w:rFonts w:ascii="" w:hAnsi="" w:eastAsia=""/>
          <w:b w:val="0"/>
          <w:i w:val="0"/>
          <w:color w:val="000000"/>
          <w:sz w:val="20"/>
        </w:rPr>
        <w:t xml:space="preserve">mortgage in the last (3) years. </w:t>
      </w:r>
    </w:p>
    <w:p>
      <w:pPr>
        <w:autoSpaceDN w:val="0"/>
        <w:tabs>
          <w:tab w:pos="2160" w:val="left"/>
          <w:tab w:pos="2520" w:val="left"/>
          <w:tab w:pos="2880" w:val="left"/>
        </w:tabs>
        <w:autoSpaceDE w:val="0"/>
        <w:widowControl/>
        <w:spacing w:line="245" w:lineRule="auto" w:before="14" w:after="0"/>
        <w:ind w:left="1800" w:right="1728" w:firstLine="0"/>
        <w:jc w:val="left"/>
      </w:pP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Please note: A borrower is not considered as a FTHB if they are vested on any property title </w:t>
      </w:r>
      <w:r>
        <w:tab/>
      </w:r>
      <w:r>
        <w:tab/>
      </w:r>
      <w:r>
        <w:tab/>
      </w:r>
      <w:r>
        <w:rPr>
          <w:rFonts w:ascii="" w:hAnsi="" w:eastAsia=""/>
          <w:b w:val="0"/>
          <w:i w:val="0"/>
          <w:color w:val="000000"/>
          <w:sz w:val="20"/>
        </w:rPr>
        <w:t xml:space="preserve">within the past (3) years. Borrowers vested on title to their primary residence but not on the </w:t>
      </w:r>
      <w:r>
        <w:tab/>
      </w:r>
      <w:r>
        <w:tab/>
      </w:r>
      <w:r>
        <w:tab/>
      </w:r>
      <w:r>
        <w:rPr>
          <w:rFonts w:ascii="" w:hAnsi="" w:eastAsia=""/>
          <w:b w:val="0"/>
          <w:i w:val="0"/>
          <w:color w:val="000000"/>
          <w:sz w:val="20"/>
        </w:rPr>
        <w:t xml:space="preserve">note will still require a 12-month housing history </w:t>
      </w:r>
      <w:r>
        <w:br/>
      </w:r>
      <w:r>
        <w:rPr>
          <w:rFonts w:ascii="" w:hAnsi="" w:eastAsia=""/>
          <w:b w:val="0"/>
          <w:i w:val="0"/>
          <w:color w:val="000000"/>
          <w:sz w:val="20"/>
        </w:rPr>
        <w:t>▪​</w:t>
      </w:r>
      <w:r>
        <w:tab/>
      </w:r>
      <w:r>
        <w:rPr>
          <w:rFonts w:ascii="" w:hAnsi="" w:eastAsia=""/>
          <w:b w:val="0"/>
          <w:i w:val="0"/>
          <w:color w:val="000000"/>
          <w:sz w:val="20"/>
        </w:rPr>
        <w:t xml:space="preserve">The following are required for FTHB: </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Maximum payment shock of 250% </w:t>
      </w:r>
    </w:p>
    <w:p>
      <w:pPr>
        <w:autoSpaceDN w:val="0"/>
        <w:autoSpaceDE w:val="0"/>
        <w:widowControl/>
        <w:spacing w:line="218" w:lineRule="auto" w:before="698" w:after="0"/>
        <w:ind w:left="0" w:right="0" w:firstLine="0"/>
        <w:jc w:val="center"/>
      </w:pPr>
      <w:r>
        <w:rPr>
          <w:rFonts w:ascii="" w:hAnsi="" w:eastAsia=""/>
          <w:b w:val="0"/>
          <w:i w:val="0"/>
          <w:color w:val="4F81BD"/>
          <w:sz w:val="22"/>
        </w:rPr>
        <w:t xml:space="preserve">5 </w:t>
      </w:r>
    </w:p>
    <w:p>
      <w:pPr>
        <w:sectPr>
          <w:pgSz w:w="12240" w:h="15840"/>
          <w:pgMar w:top="0" w:right="0" w:bottom="0" w:left="0" w:header="720" w:footer="720" w:gutter="0"/>
          <w:cols/>
          <w:docGrid w:linePitch="360"/>
        </w:sectPr>
      </w:pPr>
    </w:p>
    <w:p>
      <w:pPr>
        <w:autoSpaceDN w:val="0"/>
        <w:autoSpaceDE w:val="0"/>
        <w:widowControl/>
        <w:spacing w:line="1394" w:lineRule="exact" w:before="0" w:after="0"/>
        <w:ind w:left="0" w:right="0"/>
      </w:pPr>
    </w:p>
    <w:tbl>
      <w:tblPr>
        <w:tblW w:type="auto" w:w="0"/>
        <w:tblLayout w:type="fixed"/>
        <w:tblLook w:firstColumn="1" w:firstRow="1" w:lastColumn="0" w:lastRow="0" w:noHBand="0" w:noVBand="1" w:val="04A0"/>
        <w:tblInd w:w="1260.0" w:type="dxa"/>
      </w:tblPr>
      <w:tblGrid>
        <w:gridCol w:w="4680"/>
        <w:gridCol w:w="4680"/>
      </w:tblGrid>
      <w:tr>
        <w:trPr>
          <w:trHeight w:hRule="exact" w:val="1778"/>
        </w:trPr>
        <w:tc>
          <w:tcPr>
            <w:tcW w:type="dxa" w:w="1460"/>
            <w:tcBorders/>
            <w:shd w:fill="ffffff"/>
            <w:tcMar>
              <w:start w:w="0" w:type="dxa"/>
              <w:end w:w="0" w:type="dxa"/>
            </w:tcMar>
          </w:tcPr>
          <w:p>
            <w:pPr>
              <w:autoSpaceDN w:val="0"/>
              <w:autoSpaceDE w:val="0"/>
              <w:widowControl/>
              <w:spacing w:line="245" w:lineRule="auto" w:before="60" w:after="0"/>
              <w:ind w:left="1260" w:right="144" w:firstLine="0"/>
              <w:jc w:val="both"/>
            </w:pP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p>
        </w:tc>
        <w:tc>
          <w:tcPr>
            <w:tcW w:type="dxa" w:w="8500"/>
            <w:tcBorders/>
            <w:shd w:fill="ffffff"/>
            <w:tcMar>
              <w:start w:w="0" w:type="dxa"/>
              <w:end w:w="0" w:type="dxa"/>
            </w:tcMar>
          </w:tcPr>
          <w:p>
            <w:pPr>
              <w:autoSpaceDN w:val="0"/>
              <w:autoSpaceDE w:val="0"/>
              <w:widowControl/>
              <w:spacing w:line="245" w:lineRule="auto" w:before="90" w:after="0"/>
              <w:ind w:left="160" w:right="864" w:firstLine="0"/>
              <w:jc w:val="left"/>
            </w:pPr>
            <w:r>
              <w:rPr>
                <w:rFonts w:ascii="" w:hAnsi="" w:eastAsia=""/>
                <w:b w:val="0"/>
                <w:i w:val="0"/>
                <w:color w:val="000000"/>
                <w:sz w:val="20"/>
              </w:rPr>
              <w:t xml:space="preserve">Minimum FICO of 700 Maximum LTV of 70% Twelve (12) month verified housing payment history Twelve (12) months reserves Minimum 1.1x DSCR Rent-free FTHB are not permitted Please refer to the respective Alpha Everest Capital Program Matrix at the end for additional FTHB </w:t>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p>
        </w:tc>
      </w:tr>
    </w:tbl>
    <w:p>
      <w:pPr>
        <w:autoSpaceDN w:val="0"/>
        <w:autoSpaceDE w:val="0"/>
        <w:widowControl/>
        <w:spacing w:line="197" w:lineRule="auto" w:before="22" w:after="0"/>
        <w:ind w:left="2880" w:right="0" w:firstLine="0"/>
        <w:jc w:val="left"/>
      </w:pPr>
      <w:r>
        <w:rPr>
          <w:rFonts w:ascii="" w:hAnsi="" w:eastAsia=""/>
          <w:b w:val="0"/>
          <w:i w:val="0"/>
          <w:color w:val="000000"/>
          <w:sz w:val="20"/>
        </w:rPr>
        <w:t xml:space="preserve">restrictions. </w:t>
      </w:r>
    </w:p>
    <w:p>
      <w:pPr>
        <w:autoSpaceDN w:val="0"/>
        <w:autoSpaceDE w:val="0"/>
        <w:widowControl/>
        <w:spacing w:line="197" w:lineRule="auto" w:before="538" w:after="6"/>
        <w:ind w:left="1590" w:right="0" w:firstLine="0"/>
        <w:jc w:val="left"/>
      </w:pPr>
      <w:r>
        <w:rPr>
          <w:rFonts w:ascii="" w:hAnsi="" w:eastAsia=""/>
          <w:b/>
          <w:i w:val="0"/>
          <w:color w:val="000000"/>
          <w:sz w:val="23"/>
        </w:rPr>
        <w:t xml:space="preserve">3.6 Ineligible Borrowers </w:t>
      </w:r>
    </w:p>
    <w:tbl>
      <w:tblPr>
        <w:tblW w:type="auto" w:w="0"/>
        <w:tblLayout w:type="fixed"/>
        <w:tblLook w:firstColumn="1" w:firstRow="1" w:lastColumn="0" w:lastRow="0" w:noHBand="0" w:noVBand="1" w:val="04A0"/>
        <w:tblInd w:w="900.0" w:type="dxa"/>
      </w:tblPr>
      <w:tblGrid>
        <w:gridCol w:w="3120"/>
        <w:gridCol w:w="3120"/>
        <w:gridCol w:w="3120"/>
      </w:tblGrid>
      <w:tr>
        <w:trPr>
          <w:trHeight w:hRule="exact" w:val="232"/>
        </w:trPr>
        <w:tc>
          <w:tcPr>
            <w:tcW w:type="dxa" w:w="1140"/>
            <w:vMerge w:val="restart"/>
            <w:tcBorders/>
            <w:shd w:fill="ffffff"/>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8" w:lineRule="auto" w:before="8" w:after="0"/>
              <w:ind w:left="0" w:right="114" w:firstLine="0"/>
              <w:jc w:val="right"/>
            </w:pPr>
            <w:r>
              <w:rPr>
                <w:rFonts w:ascii="" w:hAnsi="" w:eastAsia=""/>
                <w:b w:val="0"/>
                <w:i w:val="0"/>
                <w:color w:val="000000"/>
                <w:sz w:val="20"/>
              </w:rPr>
              <w:t>▪​</w:t>
            </w:r>
          </w:p>
        </w:tc>
        <w:tc>
          <w:tcPr>
            <w:tcW w:type="dxa" w:w="9380"/>
            <w:gridSpan w:val="2"/>
            <w:tcBorders/>
            <w:shd w:fill="ffffff"/>
            <w:tcMar>
              <w:start w:w="0" w:type="dxa"/>
              <w:end w:w="0" w:type="dxa"/>
            </w:tcMar>
            <w:tcMar>
              <w:start w:w="0" w:type="dxa"/>
              <w:end w:w="0" w:type="dxa"/>
            </w:tcMar>
          </w:tcPr>
          <w:p>
            <w:pPr>
              <w:autoSpaceDN w:val="0"/>
              <w:autoSpaceDE w:val="0"/>
              <w:widowControl/>
              <w:spacing w:line="197" w:lineRule="auto" w:before="32" w:after="0"/>
              <w:ind w:left="120" w:right="0" w:firstLine="0"/>
              <w:jc w:val="left"/>
            </w:pPr>
            <w:r>
              <w:rPr>
                <w:rFonts w:ascii="" w:hAnsi="" w:eastAsia=""/>
                <w:b w:val="0"/>
                <w:i w:val="0"/>
                <w:color w:val="000000"/>
                <w:sz w:val="20"/>
              </w:rPr>
              <w:t xml:space="preserve">Alpha Everest Capital will not close loans that have been made to any of the following Borrower types: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10"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902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Irrevocable trusts </w:t>
            </w:r>
          </w:p>
        </w:tc>
      </w:tr>
      <w:tr>
        <w:trPr>
          <w:trHeight w:hRule="exact" w:val="26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24"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9020"/>
            <w:tcBorders/>
            <w:shd w:fill="ffffff"/>
            <w:tcMar>
              <w:start w:w="0" w:type="dxa"/>
              <w:end w:w="0" w:type="dxa"/>
            </w:tcMar>
          </w:tcPr>
          <w:p>
            <w:pPr>
              <w:autoSpaceDN w:val="0"/>
              <w:autoSpaceDE w:val="0"/>
              <w:widowControl/>
              <w:spacing w:line="197" w:lineRule="auto" w:before="54" w:after="0"/>
              <w:ind w:left="120" w:right="0" w:firstLine="0"/>
              <w:jc w:val="left"/>
            </w:pPr>
            <w:r>
              <w:rPr>
                <w:rFonts w:ascii="" w:hAnsi="" w:eastAsia=""/>
                <w:b w:val="0"/>
                <w:i w:val="0"/>
                <w:color w:val="000000"/>
                <w:sz w:val="20"/>
              </w:rPr>
              <w:t xml:space="preserve">Land Trusts (revocable trusts may be permitted for vesting only)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9020"/>
            <w:tcBorders/>
            <w:shd w:fill="ffffff"/>
            <w:tcMar>
              <w:start w:w="0" w:type="dxa"/>
              <w:end w:w="0" w:type="dxa"/>
            </w:tcMar>
          </w:tcPr>
          <w:p>
            <w:pPr>
              <w:autoSpaceDN w:val="0"/>
              <w:autoSpaceDE w:val="0"/>
              <w:widowControl/>
              <w:spacing w:line="197" w:lineRule="auto" w:before="38" w:after="0"/>
              <w:ind w:left="120" w:right="0" w:firstLine="0"/>
              <w:jc w:val="left"/>
            </w:pPr>
            <w:r>
              <w:rPr>
                <w:rFonts w:ascii="" w:hAnsi="" w:eastAsia=""/>
                <w:b w:val="0"/>
                <w:i w:val="0"/>
                <w:color w:val="000000"/>
                <w:sz w:val="20"/>
              </w:rPr>
              <w:t xml:space="preserve">Borrowers with diplomatic immunity or otherwise exempt from U.S. jurisdiction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10"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902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DACA &amp; asylum applicants </w:t>
            </w:r>
          </w:p>
        </w:tc>
      </w:tr>
      <w:tr>
        <w:trPr>
          <w:trHeight w:hRule="exact" w:val="27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16"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9020"/>
            <w:tcBorders/>
            <w:shd w:fill="ffffff"/>
            <w:tcMar>
              <w:start w:w="0" w:type="dxa"/>
              <w:end w:w="0" w:type="dxa"/>
            </w:tcMar>
          </w:tcPr>
          <w:p>
            <w:pPr>
              <w:autoSpaceDN w:val="0"/>
              <w:autoSpaceDE w:val="0"/>
              <w:widowControl/>
              <w:spacing w:line="197" w:lineRule="auto" w:before="48" w:after="0"/>
              <w:ind w:left="120" w:right="0" w:firstLine="0"/>
              <w:jc w:val="left"/>
            </w:pPr>
            <w:r>
              <w:rPr>
                <w:rFonts w:ascii="" w:hAnsi="" w:eastAsia=""/>
                <w:b w:val="0"/>
                <w:i w:val="0"/>
                <w:color w:val="000000"/>
                <w:sz w:val="20"/>
              </w:rPr>
              <w:t xml:space="preserve">Borrowers(s) with residence of any country not permitted to conduct business with U.S. Companies </w:t>
            </w:r>
          </w:p>
        </w:tc>
      </w:tr>
    </w:tbl>
    <w:p>
      <w:pPr>
        <w:autoSpaceDN w:val="0"/>
        <w:tabs>
          <w:tab w:pos="2520" w:val="left"/>
        </w:tabs>
        <w:autoSpaceDE w:val="0"/>
        <w:widowControl/>
        <w:spacing w:line="245" w:lineRule="auto" w:before="22" w:after="0"/>
        <w:ind w:left="2160" w:right="2304" w:firstLine="0"/>
        <w:jc w:val="left"/>
      </w:pPr>
      <w:r>
        <w:tab/>
      </w:r>
      <w:r>
        <w:rPr>
          <w:rFonts w:ascii="" w:hAnsi="" w:eastAsia=""/>
          <w:b w:val="0"/>
          <w:i w:val="0"/>
          <w:color w:val="000000"/>
          <w:sz w:val="20"/>
        </w:rPr>
        <w:t xml:space="preserve">as determined by U.S. government authority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Borrowers not on title (refinances)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Borrowers from OFAC-sanctioned countries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Any party listed on exclusionary lists such as HUD’s LDP, GSA Excluded Party List, or similar </w:t>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Borrowers under 18 years old </w:t>
      </w:r>
    </w:p>
    <w:p>
      <w:pPr>
        <w:autoSpaceDN w:val="0"/>
        <w:tabs>
          <w:tab w:pos="2520" w:val="left"/>
          <w:tab w:pos="2580" w:val="left"/>
        </w:tabs>
        <w:autoSpaceDE w:val="0"/>
        <w:widowControl/>
        <w:spacing w:line="245" w:lineRule="auto" w:before="44" w:after="0"/>
        <w:ind w:left="2160" w:right="2016" w:firstLine="0"/>
        <w:jc w:val="left"/>
      </w:pPr>
      <w:r>
        <w:tab/>
      </w:r>
      <w:r>
        <w:tab/>
      </w:r>
      <w:r>
        <w:rPr>
          <w:rFonts w:ascii="" w:hAnsi="" w:eastAsia=""/>
          <w:b/>
          <w:i w:val="0"/>
          <w:color w:val="000000"/>
          <w:sz w:val="20"/>
        </w:rPr>
        <w:t>Exclusionary List | OFAC | Diplomatic Immunity</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All parties involved in the transaction must be screened against the required exclusionary lists. </w:t>
      </w:r>
    </w:p>
    <w:p>
      <w:pPr>
        <w:autoSpaceDN w:val="0"/>
        <w:tabs>
          <w:tab w:pos="2520" w:val="left"/>
        </w:tabs>
        <w:autoSpaceDE w:val="0"/>
        <w:widowControl/>
        <w:spacing w:line="245" w:lineRule="auto" w:before="44" w:after="0"/>
        <w:ind w:left="2160" w:right="2016" w:firstLine="0"/>
        <w:jc w:val="left"/>
      </w:pPr>
      <w:r>
        <w:tab/>
      </w:r>
      <w:r>
        <w:rPr>
          <w:rFonts w:ascii="" w:hAnsi="" w:eastAsia=""/>
          <w:b w:val="0"/>
          <w:i w:val="0"/>
          <w:color w:val="000000"/>
          <w:sz w:val="20"/>
        </w:rPr>
        <w:t xml:space="preserve">Lenders must apply their exclusionary list policy to all loans originated under these guidelines </w:t>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All parties must be cleared through OFAC’s Specially Designated Nationals (SDN) List: </w:t>
      </w:r>
    </w:p>
    <w:p>
      <w:pPr>
        <w:autoSpaceDN w:val="0"/>
        <w:tabs>
          <w:tab w:pos="2520" w:val="left"/>
        </w:tabs>
        <w:autoSpaceDE w:val="0"/>
        <w:widowControl/>
        <w:spacing w:line="245" w:lineRule="auto" w:before="44" w:after="0"/>
        <w:ind w:left="2160" w:right="1584" w:firstLine="0"/>
        <w:jc w:val="left"/>
      </w:pPr>
      <w:r>
        <w:tab/>
      </w:r>
      <w:r>
        <w:rPr>
          <w:rFonts w:ascii="" w:hAnsi="" w:eastAsia=""/>
          <w:b w:val="0"/>
          <w:i w:val="0"/>
          <w:color w:val="000000"/>
          <w:sz w:val="20"/>
        </w:rPr>
        <w:t xml:space="preserve">https://sanctionssearch.ofac.treas.gov/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Borrowers from OFAC-sanctioned countries are ineligible. A list of sanctioned countries is available </w:t>
      </w:r>
    </w:p>
    <w:p>
      <w:pPr>
        <w:autoSpaceDN w:val="0"/>
        <w:tabs>
          <w:tab w:pos="2520" w:val="left"/>
        </w:tabs>
        <w:autoSpaceDE w:val="0"/>
        <w:widowControl/>
        <w:spacing w:line="245" w:lineRule="auto" w:before="44" w:after="0"/>
        <w:ind w:left="2160" w:right="2016" w:firstLine="0"/>
        <w:jc w:val="left"/>
      </w:pPr>
      <w:r>
        <w:tab/>
      </w:r>
      <w:r>
        <w:rPr>
          <w:rFonts w:ascii="" w:hAnsi="" w:eastAsia=""/>
          <w:b w:val="0"/>
          <w:i w:val="0"/>
          <w:color w:val="000000"/>
          <w:sz w:val="20"/>
        </w:rPr>
        <w:t xml:space="preserve">at: http://www.treasury.gov/resource-center/sanctions/Programs/Pages/Programs.aspx </w:t>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Individuals with diplomatic immunity are ineligible due to the inability to enforce repayment. </w:t>
      </w:r>
    </w:p>
    <w:p>
      <w:pPr>
        <w:autoSpaceDN w:val="0"/>
        <w:autoSpaceDE w:val="0"/>
        <w:widowControl/>
        <w:spacing w:line="197" w:lineRule="auto" w:before="44" w:after="0"/>
        <w:ind w:left="2520" w:right="0" w:firstLine="0"/>
        <w:jc w:val="left"/>
      </w:pPr>
      <w:r>
        <w:rPr>
          <w:rFonts w:ascii="" w:hAnsi="" w:eastAsia=""/>
          <w:b w:val="0"/>
          <w:i w:val="0"/>
          <w:color w:val="000000"/>
          <w:sz w:val="20"/>
        </w:rPr>
        <w:t xml:space="preserve">Verification may be obtained using the borrower’s visa, passport, or the U.S. Department of State’s </w:t>
      </w:r>
    </w:p>
    <w:p>
      <w:pPr>
        <w:autoSpaceDN w:val="0"/>
        <w:autoSpaceDE w:val="0"/>
        <w:widowControl/>
        <w:spacing w:line="197" w:lineRule="auto" w:before="46" w:after="0"/>
        <w:ind w:left="2520" w:right="0" w:firstLine="0"/>
        <w:jc w:val="left"/>
      </w:pPr>
      <w:r>
        <w:rPr>
          <w:rFonts w:ascii="" w:hAnsi="" w:eastAsia=""/>
          <w:b w:val="0"/>
          <w:i w:val="0"/>
          <w:color w:val="000000"/>
          <w:sz w:val="20"/>
        </w:rPr>
        <w:t xml:space="preserve">Diplomatic List </w:t>
      </w:r>
    </w:p>
    <w:p>
      <w:pPr>
        <w:autoSpaceDN w:val="0"/>
        <w:autoSpaceDE w:val="0"/>
        <w:widowControl/>
        <w:spacing w:line="197" w:lineRule="auto" w:before="314" w:after="0"/>
        <w:ind w:left="1590" w:right="0" w:firstLine="0"/>
        <w:jc w:val="left"/>
      </w:pPr>
      <w:r>
        <w:rPr>
          <w:rFonts w:ascii="" w:hAnsi="" w:eastAsia=""/>
          <w:b/>
          <w:i w:val="0"/>
          <w:color w:val="548DD4"/>
          <w:sz w:val="32"/>
        </w:rPr>
        <w:t>4. Occupancy Eligibility</w:t>
      </w:r>
    </w:p>
    <w:p>
      <w:pPr>
        <w:autoSpaceDN w:val="0"/>
        <w:tabs>
          <w:tab w:pos="1800" w:val="left"/>
          <w:tab w:pos="2160" w:val="left"/>
        </w:tabs>
        <w:autoSpaceDE w:val="0"/>
        <w:widowControl/>
        <w:spacing w:line="245" w:lineRule="auto" w:before="294" w:after="0"/>
        <w:ind w:left="1590" w:right="1872" w:firstLine="0"/>
        <w:jc w:val="left"/>
      </w:pPr>
      <w:r>
        <w:rPr>
          <w:rFonts w:ascii="" w:hAnsi="" w:eastAsia=""/>
          <w:b/>
          <w:i w:val="0"/>
          <w:color w:val="000000"/>
          <w:sz w:val="23"/>
        </w:rPr>
        <w:t xml:space="preserve">4.1 Non-Owner Occupied: </w:t>
      </w:r>
      <w:r>
        <w:br/>
      </w:r>
      <w:r>
        <w:tab/>
      </w:r>
      <w:r>
        <w:rPr>
          <w:rFonts w:ascii="" w:hAnsi="" w:eastAsia=""/>
          <w:b w:val="0"/>
          <w:i w:val="0"/>
          <w:color w:val="000000"/>
          <w:sz w:val="20"/>
        </w:rPr>
        <w:t>▪​</w:t>
      </w:r>
      <w:r>
        <w:tab/>
      </w:r>
      <w:r>
        <w:rPr>
          <w:rFonts w:ascii="" w:hAnsi="" w:eastAsia=""/>
          <w:b w:val="0"/>
          <w:i w:val="0"/>
          <w:color w:val="000000"/>
          <w:sz w:val="20"/>
        </w:rPr>
        <w:t xml:space="preserve">Occupancy designation for an income producing property where the Borrower does not occupy the </w:t>
      </w:r>
    </w:p>
    <w:p>
      <w:pPr>
        <w:autoSpaceDN w:val="0"/>
        <w:tabs>
          <w:tab w:pos="2160" w:val="left"/>
        </w:tabs>
        <w:autoSpaceDE w:val="0"/>
        <w:widowControl/>
        <w:spacing w:line="245" w:lineRule="auto" w:before="46" w:after="0"/>
        <w:ind w:left="1800" w:right="1872" w:firstLine="0"/>
        <w:jc w:val="left"/>
      </w:pPr>
      <w:r>
        <w:tab/>
      </w:r>
      <w:r>
        <w:rPr>
          <w:rFonts w:ascii="" w:hAnsi="" w:eastAsia=""/>
          <w:b w:val="0"/>
          <w:i w:val="0"/>
          <w:color w:val="000000"/>
          <w:sz w:val="20"/>
        </w:rPr>
        <w:t xml:space="preserve">Subject property </w:t>
      </w:r>
      <w:r>
        <w:br/>
      </w:r>
      <w:r>
        <w:rPr>
          <w:rFonts w:ascii="" w:hAnsi="" w:eastAsia=""/>
          <w:b w:val="0"/>
          <w:i w:val="0"/>
          <w:color w:val="000000"/>
          <w:sz w:val="20"/>
        </w:rPr>
        <w:t>▪​</w:t>
      </w:r>
      <w:r>
        <w:tab/>
      </w:r>
      <w:r>
        <w:rPr>
          <w:rFonts w:ascii="" w:hAnsi="" w:eastAsia=""/>
          <w:b w:val="0"/>
          <w:i w:val="0"/>
          <w:color w:val="000000"/>
          <w:sz w:val="20"/>
        </w:rPr>
        <w:t xml:space="preserve">All Borrower(s) must execute the Occupancy Certification or similar form </w:t>
      </w:r>
      <w:r>
        <w:br/>
      </w:r>
      <w:r>
        <w:rPr>
          <w:rFonts w:ascii="" w:hAnsi="" w:eastAsia=""/>
          <w:b w:val="0"/>
          <w:i w:val="0"/>
          <w:color w:val="000000"/>
          <w:sz w:val="20"/>
        </w:rPr>
        <w:t>▪​</w:t>
      </w:r>
      <w:r>
        <w:tab/>
      </w:r>
      <w:r>
        <w:rPr>
          <w:rFonts w:ascii="" w:hAnsi="" w:eastAsia=""/>
          <w:b w:val="0"/>
          <w:i w:val="0"/>
          <w:color w:val="000000"/>
          <w:sz w:val="20"/>
        </w:rPr>
        <w:t xml:space="preserve">For DSCR Borrower(s) obtaining a Rate/Term or Cash Out Refinance loan, the Borrower must execute </w:t>
      </w:r>
    </w:p>
    <w:p>
      <w:pPr>
        <w:autoSpaceDN w:val="0"/>
        <w:tabs>
          <w:tab w:pos="2160" w:val="left"/>
        </w:tabs>
        <w:autoSpaceDE w:val="0"/>
        <w:widowControl/>
        <w:spacing w:line="245" w:lineRule="auto" w:before="44" w:after="0"/>
        <w:ind w:left="1800" w:right="1584" w:firstLine="0"/>
        <w:jc w:val="left"/>
      </w:pPr>
      <w:r>
        <w:tab/>
      </w:r>
      <w:r>
        <w:rPr>
          <w:rFonts w:ascii="" w:hAnsi="" w:eastAsia=""/>
          <w:b w:val="0"/>
          <w:i w:val="0"/>
          <w:color w:val="000000"/>
          <w:sz w:val="20"/>
        </w:rPr>
        <w:t xml:space="preserve">the Business Purpose &amp; Occupancy Affidavit </w:t>
      </w:r>
      <w:r>
        <w:br/>
      </w:r>
      <w:r>
        <w:rPr>
          <w:rFonts w:ascii="" w:hAnsi="" w:eastAsia=""/>
          <w:b w:val="0"/>
          <w:i w:val="0"/>
          <w:color w:val="000000"/>
          <w:sz w:val="20"/>
        </w:rPr>
        <w:t>▪​</w:t>
      </w:r>
      <w:r>
        <w:tab/>
      </w:r>
      <w:r>
        <w:rPr>
          <w:rFonts w:ascii="" w:hAnsi="" w:eastAsia=""/>
          <w:b w:val="0"/>
          <w:i w:val="0"/>
          <w:color w:val="000000"/>
          <w:sz w:val="20"/>
        </w:rPr>
        <w:t xml:space="preserve">For non-owner-occupied loans with a Guarantor, the Borrower(s) providing the guarantee must execute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the Personal Guaranty Agreement </w:t>
      </w:r>
    </w:p>
    <w:p>
      <w:pPr>
        <w:autoSpaceDN w:val="0"/>
        <w:autoSpaceDE w:val="0"/>
        <w:widowControl/>
        <w:spacing w:line="197" w:lineRule="auto" w:before="354" w:after="0"/>
        <w:ind w:left="1590" w:right="0" w:firstLine="0"/>
        <w:jc w:val="left"/>
      </w:pPr>
      <w:r>
        <w:rPr>
          <w:rFonts w:ascii="" w:hAnsi="" w:eastAsia=""/>
          <w:b/>
          <w:i w:val="0"/>
          <w:color w:val="548DD4"/>
          <w:sz w:val="32"/>
        </w:rPr>
        <w:t>5. Transaction Eligibility</w:t>
      </w:r>
    </w:p>
    <w:p>
      <w:pPr>
        <w:autoSpaceDN w:val="0"/>
        <w:autoSpaceDE w:val="0"/>
        <w:widowControl/>
        <w:spacing w:line="197" w:lineRule="auto" w:before="336" w:after="0"/>
        <w:ind w:left="1590" w:right="0" w:firstLine="0"/>
        <w:jc w:val="left"/>
      </w:pPr>
      <w:r>
        <w:rPr>
          <w:rFonts w:ascii="" w:hAnsi="" w:eastAsia=""/>
          <w:b/>
          <w:i w:val="0"/>
          <w:color w:val="000000"/>
          <w:sz w:val="23"/>
        </w:rPr>
        <w:t xml:space="preserve">5.1 Eligible Transactions </w:t>
      </w:r>
    </w:p>
    <w:p>
      <w:pPr>
        <w:autoSpaceDN w:val="0"/>
        <w:tabs>
          <w:tab w:pos="1800" w:val="left"/>
          <w:tab w:pos="2160" w:val="left"/>
        </w:tabs>
        <w:autoSpaceDE w:val="0"/>
        <w:widowControl/>
        <w:spacing w:line="245" w:lineRule="auto" w:before="50" w:after="0"/>
        <w:ind w:left="1590" w:right="2160" w:firstLine="0"/>
        <w:jc w:val="left"/>
      </w:pPr>
      <w:r>
        <w:rPr>
          <w:rFonts w:ascii="" w:hAnsi="" w:eastAsia=""/>
          <w:b/>
          <w:i w:val="0"/>
          <w:color w:val="000000"/>
          <w:sz w:val="23"/>
        </w:rPr>
        <w:t xml:space="preserve">5.1.1 Purchase </w:t>
      </w:r>
      <w:r>
        <w:br/>
      </w:r>
      <w:r>
        <w:tab/>
      </w:r>
      <w:r>
        <w:rPr>
          <w:rFonts w:ascii="" w:hAnsi="" w:eastAsia=""/>
          <w:b w:val="0"/>
          <w:i w:val="0"/>
          <w:color w:val="000000"/>
          <w:sz w:val="20"/>
        </w:rPr>
        <w:t>▪​</w:t>
      </w:r>
      <w:r>
        <w:tab/>
      </w:r>
      <w:r>
        <w:rPr>
          <w:rFonts w:ascii="" w:hAnsi="" w:eastAsia=""/>
          <w:b w:val="0"/>
          <w:i w:val="0"/>
          <w:color w:val="000000"/>
          <w:sz w:val="20"/>
        </w:rPr>
        <w:t xml:space="preserve">A purchase transaction is one which allows a buyer to acquire a property from a seller where the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proceeds of the transaction are used to finance the acquisition of the Subject property </w:t>
      </w:r>
    </w:p>
    <w:p>
      <w:pPr>
        <w:autoSpaceDN w:val="0"/>
        <w:autoSpaceDE w:val="0"/>
        <w:widowControl/>
        <w:spacing w:line="218" w:lineRule="auto" w:before="796" w:after="0"/>
        <w:ind w:left="0" w:right="0" w:firstLine="0"/>
        <w:jc w:val="center"/>
      </w:pPr>
      <w:r>
        <w:rPr>
          <w:rFonts w:ascii="" w:hAnsi="" w:eastAsia=""/>
          <w:b w:val="0"/>
          <w:i w:val="0"/>
          <w:color w:val="4F81BD"/>
          <w:sz w:val="22"/>
        </w:rPr>
        <w:t xml:space="preserve">6 </w:t>
      </w:r>
    </w:p>
    <w:p>
      <w:pPr>
        <w:sectPr>
          <w:pgSz w:w="12240" w:h="15840"/>
          <w:pgMar w:top="0" w:right="0" w:bottom="0" w:left="0" w:header="720" w:footer="720" w:gutter="0"/>
          <w:cols/>
          <w:docGrid w:linePitch="360"/>
        </w:sectPr>
      </w:pPr>
    </w:p>
    <w:p>
      <w:pPr>
        <w:autoSpaceDN w:val="0"/>
        <w:autoSpaceDE w:val="0"/>
        <w:widowControl/>
        <w:spacing w:line="1394" w:lineRule="exact" w:before="0" w:after="0"/>
        <w:ind w:left="0" w:right="0"/>
      </w:pPr>
    </w:p>
    <w:tbl>
      <w:tblPr>
        <w:tblW w:type="auto" w:w="0"/>
        <w:tblLayout w:type="fixed"/>
        <w:tblLook w:firstColumn="1" w:firstRow="1" w:lastColumn="0" w:lastRow="0" w:noHBand="0" w:noVBand="1" w:val="04A0"/>
        <w:tblInd w:w="900.0" w:type="dxa"/>
      </w:tblPr>
      <w:tblGrid>
        <w:gridCol w:w="4680"/>
        <w:gridCol w:w="4680"/>
      </w:tblGrid>
      <w:tr>
        <w:trPr>
          <w:trHeight w:hRule="exact" w:val="316"/>
        </w:trPr>
        <w:tc>
          <w:tcPr>
            <w:tcW w:type="dxa" w:w="1140"/>
            <w:tcBorders/>
            <w:shd w:fill="ffffff"/>
            <w:tcMar>
              <w:start w:w="0" w:type="dxa"/>
              <w:end w:w="0" w:type="dxa"/>
            </w:tcMar>
          </w:tcPr>
          <w:p>
            <w:pPr>
              <w:autoSpaceDN w:val="0"/>
              <w:autoSpaceDE w:val="0"/>
              <w:widowControl/>
              <w:spacing w:line="218" w:lineRule="auto" w:before="60" w:after="0"/>
              <w:ind w:left="0" w:right="114" w:firstLine="0"/>
              <w:jc w:val="right"/>
            </w:pPr>
            <w:r>
              <w:rPr>
                <w:rFonts w:ascii="" w:hAnsi="" w:eastAsia=""/>
                <w:b w:val="0"/>
                <w:i w:val="0"/>
                <w:color w:val="000000"/>
                <w:sz w:val="20"/>
              </w:rPr>
              <w:t>▪​</w:t>
            </w:r>
          </w:p>
        </w:tc>
        <w:tc>
          <w:tcPr>
            <w:tcW w:type="dxa" w:w="9300"/>
            <w:tcBorders/>
            <w:shd w:fill="ffffff"/>
            <w:tcMar>
              <w:start w:w="0" w:type="dxa"/>
              <w:end w:w="0" w:type="dxa"/>
            </w:tcMar>
          </w:tcPr>
          <w:p>
            <w:pPr>
              <w:autoSpaceDN w:val="0"/>
              <w:autoSpaceDE w:val="0"/>
              <w:widowControl/>
              <w:spacing w:line="197" w:lineRule="auto" w:before="90" w:after="0"/>
              <w:ind w:left="120" w:right="0" w:firstLine="0"/>
              <w:jc w:val="left"/>
            </w:pPr>
            <w:r>
              <w:rPr>
                <w:rFonts w:ascii="" w:hAnsi="" w:eastAsia=""/>
                <w:b w:val="0"/>
                <w:i w:val="0"/>
                <w:color w:val="000000"/>
                <w:sz w:val="20"/>
              </w:rPr>
              <w:t xml:space="preserve">The lesser of the purchase price or appraised value of the Subject property is used to calculate the LTV </w:t>
            </w:r>
          </w:p>
        </w:tc>
      </w:tr>
    </w:tbl>
    <w:p>
      <w:pPr>
        <w:autoSpaceDN w:val="0"/>
        <w:tabs>
          <w:tab w:pos="1800" w:val="left"/>
          <w:tab w:pos="2160" w:val="left"/>
        </w:tabs>
        <w:autoSpaceDE w:val="0"/>
        <w:widowControl/>
        <w:spacing w:line="245" w:lineRule="auto" w:before="24" w:after="0"/>
        <w:ind w:left="1590" w:right="1584" w:firstLine="0"/>
        <w:jc w:val="left"/>
      </w:pPr>
      <w:r>
        <w:rPr>
          <w:rFonts w:ascii="" w:hAnsi="" w:eastAsia=""/>
          <w:b/>
          <w:i w:val="0"/>
          <w:color w:val="000000"/>
          <w:sz w:val="23"/>
        </w:rPr>
        <w:t xml:space="preserve">5.1.2 Rate/Term Refinance </w:t>
      </w:r>
      <w:r>
        <w:br/>
      </w:r>
      <w:r>
        <w:tab/>
      </w:r>
      <w:r>
        <w:rPr>
          <w:rFonts w:ascii="" w:hAnsi="" w:eastAsia=""/>
          <w:b w:val="0"/>
          <w:i w:val="0"/>
          <w:color w:val="000000"/>
          <w:sz w:val="20"/>
        </w:rPr>
        <w:t>▪​</w:t>
      </w:r>
      <w:r>
        <w:tab/>
      </w:r>
      <w:r>
        <w:rPr>
          <w:rFonts w:ascii="" w:hAnsi="" w:eastAsia=""/>
          <w:b w:val="0"/>
          <w:i w:val="0"/>
          <w:color w:val="000000"/>
          <w:sz w:val="20"/>
        </w:rPr>
        <w:t xml:space="preserve">A Rate / Term Refinance transaction is when the new loan amount is limited to the payoff of a present </w:t>
      </w:r>
      <w:r>
        <w:tab/>
      </w:r>
      <w:r>
        <w:tab/>
      </w:r>
      <w:r>
        <w:rPr>
          <w:rFonts w:ascii="" w:hAnsi="" w:eastAsia=""/>
          <w:b w:val="0"/>
          <w:i w:val="0"/>
          <w:color w:val="000000"/>
          <w:sz w:val="20"/>
        </w:rPr>
        <w:t xml:space="preserve">mortgage for the purpose of changing the interest rate and/or term of mortgage only with no additional </w:t>
      </w:r>
      <w:r>
        <w:tab/>
      </w:r>
      <w:r>
        <w:tab/>
      </w:r>
      <w:r>
        <w:rPr>
          <w:rFonts w:ascii="" w:hAnsi="" w:eastAsia=""/>
          <w:b w:val="0"/>
          <w:i w:val="0"/>
          <w:color w:val="000000"/>
          <w:sz w:val="20"/>
        </w:rPr>
        <w:t xml:space="preserve">cash or advancing of new money on the loan unless it is below the limited cashout amount. </w:t>
      </w:r>
    </w:p>
    <w:p>
      <w:pPr>
        <w:autoSpaceDN w:val="0"/>
        <w:tabs>
          <w:tab w:pos="2160" w:val="left"/>
          <w:tab w:pos="2520" w:val="left"/>
        </w:tabs>
        <w:autoSpaceDE w:val="0"/>
        <w:widowControl/>
        <w:spacing w:line="245" w:lineRule="auto" w:before="12" w:after="0"/>
        <w:ind w:left="1800" w:right="1440" w:firstLine="0"/>
        <w:jc w:val="left"/>
      </w:pPr>
      <w:r>
        <w:rPr>
          <w:rFonts w:ascii="" w:hAnsi="" w:eastAsia=""/>
          <w:b w:val="0"/>
          <w:i w:val="0"/>
          <w:color w:val="000000"/>
          <w:sz w:val="20"/>
        </w:rPr>
        <w:t xml:space="preserve">▪​The seasoned non-first lien mortgage is (1) a purchase money mortgage or (2) a closed end mortgage or HELOC mortgage not having any draws greater than $5,000 in the past twelve (12) months –​Withdrawal activity must be documented with a transaction history from the HELOC ▪​Limited cash to the Borrower must not exceed the lesser of $5,000 or 2% of the principal amount of the new mortgage to be considered a Rate / Term refinance ▪​The LTV / CLTV will be based on the appraised value. Loan must be used to pay off existing lien on the Subject mortgage and cash to the Borrower must not exceed the lesser of $5,000 or 2% of the principal amount of the new mortgage ▪​Properties that have been listed for sale by the Borrower within the past six (6) months from the Note Date may not be currently listed at the time of Loan Application and will require a Borrower LOE and Listing Cancellation – Multiple listings in the past twelve (12) months will not be eligible for closing by Alpha Everest Capital </w:t>
      </w:r>
      <w:r>
        <w:tab/>
      </w:r>
      <w:r>
        <w:rPr>
          <w:rFonts w:ascii="" w:hAnsi="" w:eastAsia=""/>
          <w:b w:val="0"/>
          <w:i w:val="0"/>
          <w:color w:val="000000"/>
          <w:sz w:val="20"/>
        </w:rPr>
        <w:t xml:space="preserve"/>
      </w:r>
      <w:r>
        <w:tab/>
      </w:r>
      <w:r>
        <w:rPr>
          <w:rFonts w:ascii="" w:hAnsi="" w:eastAsia=""/>
          <w:b w:val="0"/>
          <w:i w:val="0"/>
          <w:color w:val="000000"/>
          <w:sz w:val="20"/>
        </w:rPr>
        <w:t xml:space="preserve"/>
      </w:r>
      <w:r>
        <w:br/>
      </w:r>
      <w:r>
        <w:tab/>
      </w:r>
      <w:r>
        <w:rPr>
          <w:rFonts w:ascii="" w:hAnsi="" w:eastAsia=""/>
          <w:b w:val="0"/>
          <w:i w:val="0"/>
          <w:color w:val="000000"/>
          <w:sz w:val="20"/>
        </w:rPr>
        <w:t/>
      </w:r>
      <w:r>
        <w:rPr>
          <w:rFonts w:ascii="" w:hAnsi="" w:eastAsia=""/>
          <w:b w:val="0"/>
          <w:i w:val="0"/>
          <w:color w:val="000000"/>
          <w:sz w:val="20"/>
        </w:rPr>
        <w:t/>
      </w:r>
      <w:r>
        <w:tab/>
      </w:r>
      <w:r>
        <w:rPr>
          <w:rFonts w:ascii="" w:hAnsi="" w:eastAsia=""/>
          <w:b w:val="0"/>
          <w:i w:val="0"/>
          <w:color w:val="000000"/>
          <w:sz w:val="20"/>
        </w:rPr>
        <w:t xml:space="preserve"/>
      </w:r>
      <w:r>
        <w:br/>
      </w:r>
      <w:r>
        <w:rPr>
          <w:rFonts w:ascii="" w:hAnsi="" w:eastAsia=""/>
          <w:b w:val="0"/>
          <w:i w:val="0"/>
          <w:color w:val="000000"/>
          <w:sz w:val="20"/>
        </w:rPr>
        <w:t/>
      </w:r>
      <w:r>
        <w:tab/>
      </w:r>
      <w:r>
        <w:rPr>
          <w:rFonts w:ascii="" w:hAnsi="" w:eastAsia=""/>
          <w:b w:val="0"/>
          <w:i w:val="0"/>
          <w:color w:val="000000"/>
          <w:sz w:val="20"/>
        </w:rPr>
        <w:t xml:space="preserve"/>
      </w:r>
      <w:r>
        <w:tab/>
      </w:r>
      <w:r>
        <w:rPr>
          <w:rFonts w:ascii="" w:hAnsi="" w:eastAsia=""/>
          <w:b w:val="0"/>
          <w:i w:val="0"/>
          <w:color w:val="000000"/>
          <w:sz w:val="20"/>
        </w:rPr>
        <w:t xml:space="preserve"/>
      </w:r>
      <w:r>
        <w:br/>
      </w:r>
      <w:r>
        <w:rPr>
          <w:rFonts w:ascii="" w:hAnsi="" w:eastAsia=""/>
          <w:b w:val="0"/>
          <w:i w:val="0"/>
          <w:color w:val="000000"/>
          <w:sz w:val="20"/>
        </w:rPr>
        <w:t/>
      </w:r>
      <w:r>
        <w:tab/>
      </w:r>
      <w:r>
        <w:rPr>
          <w:rFonts w:ascii="" w:hAnsi="" w:eastAsia=""/>
          <w:b w:val="0"/>
          <w:i w:val="0"/>
          <w:color w:val="000000"/>
          <w:sz w:val="20"/>
        </w:rPr>
        <w:t xml:space="preserve"/>
      </w:r>
      <w:r>
        <w:tab/>
      </w:r>
      <w:r>
        <w:rPr>
          <w:rFonts w:ascii="" w:hAnsi="" w:eastAsia=""/>
          <w:b w:val="0"/>
          <w:i w:val="0"/>
          <w:color w:val="000000"/>
          <w:sz w:val="20"/>
        </w:rPr>
        <w:t xml:space="preserve"/>
      </w:r>
      <w:r>
        <w:tab/>
      </w:r>
      <w:r>
        <w:rPr>
          <w:rFonts w:ascii="" w:hAnsi="" w:eastAsia=""/>
          <w:b w:val="0"/>
          <w:i w:val="0"/>
          <w:color w:val="000000"/>
          <w:sz w:val="20"/>
        </w:rPr>
        <w:t xml:space="preserve"/>
      </w:r>
      <w:r>
        <w:br/>
      </w:r>
      <w:r>
        <w:rPr>
          <w:rFonts w:ascii="" w:hAnsi="" w:eastAsia=""/>
          <w:b w:val="0"/>
          <w:i w:val="0"/>
          <w:color w:val="000000"/>
          <w:sz w:val="20"/>
        </w:rPr>
        <w:t/>
      </w:r>
      <w:r>
        <w:tab/>
      </w:r>
      <w:r>
        <w:rPr>
          <w:rFonts w:ascii="" w:hAnsi="" w:eastAsia=""/>
          <w:b w:val="0"/>
          <w:i w:val="0"/>
          <w:color w:val="000000"/>
          <w:sz w:val="20"/>
        </w:rPr>
        <w:t xml:space="preserve"/>
      </w:r>
      <w:r>
        <w:tab/>
      </w:r>
      <w:r>
        <w:rPr>
          <w:rFonts w:ascii="" w:hAnsi="" w:eastAsia=""/>
          <w:b w:val="0"/>
          <w:i w:val="0"/>
          <w:color w:val="000000"/>
          <w:sz w:val="20"/>
        </w:rPr>
        <w:t xml:space="preserve"/>
      </w:r>
      <w:r>
        <w:tab/>
      </w:r>
      <w:r>
        <w:rPr>
          <w:rFonts w:ascii="" w:hAnsi="" w:eastAsia=""/>
          <w:b w:val="0"/>
          <w:i w:val="0"/>
          <w:color w:val="000000"/>
          <w:sz w:val="20"/>
        </w:rPr>
        <w:t xml:space="preserve"/>
      </w:r>
      <w:r>
        <w:tab/>
      </w:r>
      <w:r>
        <w:rPr>
          <w:rFonts w:ascii="" w:hAnsi="" w:eastAsia=""/>
          <w:b w:val="0"/>
          <w:i w:val="0"/>
          <w:color w:val="000000"/>
          <w:sz w:val="20"/>
        </w:rPr>
        <w:t xml:space="preserve"/>
      </w:r>
    </w:p>
    <w:p>
      <w:pPr>
        <w:autoSpaceDN w:val="0"/>
        <w:tabs>
          <w:tab w:pos="1800" w:val="left"/>
          <w:tab w:pos="2160" w:val="left"/>
        </w:tabs>
        <w:autoSpaceDE w:val="0"/>
        <w:widowControl/>
        <w:spacing w:line="245" w:lineRule="auto" w:before="294" w:after="0"/>
        <w:ind w:left="1590" w:right="1440" w:firstLine="0"/>
        <w:jc w:val="left"/>
      </w:pPr>
      <w:r>
        <w:rPr>
          <w:rFonts w:ascii="" w:hAnsi="" w:eastAsia=""/>
          <w:b/>
          <w:i w:val="0"/>
          <w:color w:val="000000"/>
          <w:sz w:val="23"/>
        </w:rPr>
        <w:t xml:space="preserve">5.1.3 Cash-Out Refinance ▪​A Cash-Out Refinance transaction allows the Borrower to pay off the existing mortgage by obtaining new financing secured by the same property or allows the property owner to obtain a mortgage on a property that is currently owned free and clear. The Borrower can receive funds at closing if they do not exceed the program requirements ▪​To be eligible for a Cash-Out Refinance the Borrower must have owned the property for a minimum of six (6) months prior to the application date (Note Date or Deed Date) ▪​Properties that have been listed for sale by the Borrower within the past six (6) months from the Note Date may not be currently listed at the time of Loan Application and will require a Borrower LOE and Listing Cancellation – Multiple listings in the past twelve (12) months will not be eligible for closing by Alpha Everest Capital ▪​If the property is owned less than twelve (12) months but greater than six (6) months at the time of application, the LTV / CLTV will be based on the lesser of the original purchase price plus documented improvements, or current appraised value. The prior settlement statement will be required for proof of purchase price ▪​Refinance of a previous Cash-Out seasoned &lt; 1 year will be considered Cash-Out refinance </w:t>
      </w:r>
      <w:r>
        <w:br/>
      </w:r>
      <w:r>
        <w:tab/>
      </w:r>
      <w:r>
        <w:rPr>
          <w:rFonts w:ascii="" w:hAnsi="" w:eastAsia=""/>
          <w:b w:val="0"/>
          <w:i w:val="0"/>
          <w:color w:val="000000"/>
          <w:sz w:val="20"/>
        </w:rPr>
        <w:t/>
      </w:r>
      <w:r>
        <w:tab/>
      </w:r>
      <w:r>
        <w:rPr>
          <w:rFonts w:ascii="" w:hAnsi="" w:eastAsia=""/>
          <w:b w:val="0"/>
          <w:i w:val="0"/>
          <w:color w:val="000000"/>
          <w:sz w:val="20"/>
        </w:rPr>
        <w:t xml:space="preserve"/>
      </w:r>
      <w:r>
        <w:tab/>
      </w:r>
      <w:r>
        <w:tab/>
      </w:r>
      <w:r>
        <w:rPr>
          <w:rFonts w:ascii="" w:hAnsi="" w:eastAsia=""/>
          <w:b w:val="0"/>
          <w:i w:val="0"/>
          <w:color w:val="000000"/>
          <w:sz w:val="20"/>
        </w:rPr>
        <w:t xml:space="preserve"/>
      </w:r>
      <w:r>
        <w:tab/>
      </w:r>
      <w:r>
        <w:tab/>
      </w:r>
      <w:r>
        <w:rPr>
          <w:rFonts w:ascii="" w:hAnsi="" w:eastAsia=""/>
          <w:b w:val="0"/>
          <w:i w:val="0"/>
          <w:color w:val="000000"/>
          <w:sz w:val="20"/>
        </w:rPr>
        <w:t xml:space="preserve"/>
      </w:r>
      <w:r>
        <w:tab/>
      </w:r>
      <w:r>
        <w:tab/>
      </w:r>
      <w:r>
        <w:rPr>
          <w:rFonts w:ascii="" w:hAnsi="" w:eastAsia=""/>
          <w:b w:val="0"/>
          <w:i w:val="0"/>
          <w:color w:val="000000"/>
          <w:sz w:val="20"/>
        </w:rPr>
        <w:t xml:space="preserve"/>
      </w:r>
      <w:r>
        <w:br/>
      </w:r>
      <w:r>
        <w:tab/>
      </w:r>
      <w:r>
        <w:rPr>
          <w:rFonts w:ascii="" w:hAnsi="" w:eastAsia=""/>
          <w:b w:val="0"/>
          <w:i w:val="0"/>
          <w:color w:val="000000"/>
          <w:sz w:val="20"/>
        </w:rPr>
        <w:t/>
      </w:r>
      <w:r>
        <w:tab/>
      </w:r>
      <w:r>
        <w:rPr>
          <w:rFonts w:ascii="" w:hAnsi="" w:eastAsia=""/>
          <w:b w:val="0"/>
          <w:i w:val="0"/>
          <w:color w:val="000000"/>
          <w:sz w:val="20"/>
        </w:rPr>
        <w:t xml:space="preserve"/>
      </w:r>
      <w:r>
        <w:tab/>
      </w:r>
      <w:r>
        <w:tab/>
      </w:r>
      <w:r>
        <w:rPr>
          <w:rFonts w:ascii="" w:hAnsi="" w:eastAsia=""/>
          <w:b w:val="0"/>
          <w:i w:val="0"/>
          <w:color w:val="000000"/>
          <w:sz w:val="20"/>
        </w:rPr>
        <w:t xml:space="preserve"/>
      </w:r>
      <w:r>
        <w:br/>
      </w:r>
      <w:r>
        <w:tab/>
      </w:r>
      <w:r>
        <w:rPr>
          <w:rFonts w:ascii="" w:hAnsi="" w:eastAsia=""/>
          <w:b w:val="0"/>
          <w:i w:val="0"/>
          <w:color w:val="000000"/>
          <w:sz w:val="20"/>
        </w:rPr>
        <w:t/>
      </w:r>
      <w:r>
        <w:tab/>
      </w:r>
      <w:r>
        <w:rPr>
          <w:rFonts w:ascii="" w:hAnsi="" w:eastAsia=""/>
          <w:b w:val="0"/>
          <w:i w:val="0"/>
          <w:color w:val="000000"/>
          <w:sz w:val="20"/>
        </w:rPr>
        <w:t xml:space="preserve"/>
      </w:r>
      <w:r>
        <w:tab/>
      </w:r>
      <w:r>
        <w:tab/>
      </w:r>
      <w:r>
        <w:rPr>
          <w:rFonts w:ascii="" w:hAnsi="" w:eastAsia=""/>
          <w:b w:val="0"/>
          <w:i w:val="0"/>
          <w:color w:val="000000"/>
          <w:sz w:val="20"/>
        </w:rPr>
        <w:t xml:space="preserve"/>
      </w:r>
      <w:r>
        <w:tab/>
      </w:r>
      <w:r>
        <w:tab/>
      </w:r>
      <w:r>
        <w:rPr>
          <w:rFonts w:ascii="" w:hAnsi="" w:eastAsia=""/>
          <w:b w:val="0"/>
          <w:i w:val="0"/>
          <w:color w:val="000000"/>
          <w:sz w:val="20"/>
        </w:rPr>
        <w:t xml:space="preserve"/>
      </w:r>
      <w:r>
        <w:tab/>
      </w:r>
      <w:r>
        <w:tab/>
      </w:r>
      <w:r>
        <w:rPr>
          <w:rFonts w:ascii="" w:hAnsi="" w:eastAsia=""/>
          <w:b w:val="0"/>
          <w:i w:val="0"/>
          <w:color w:val="000000"/>
          <w:sz w:val="20"/>
        </w:rPr>
        <w:t xml:space="preserve"/>
      </w:r>
      <w:r>
        <w:br/>
      </w:r>
      <w:r>
        <w:tab/>
      </w:r>
      <w:r>
        <w:rPr>
          <w:rFonts w:ascii="" w:hAnsi="" w:eastAsia=""/>
          <w:b w:val="0"/>
          <w:i w:val="0"/>
          <w:color w:val="000000"/>
          <w:sz w:val="20"/>
        </w:rPr>
        <w:t/>
      </w:r>
      <w:r>
        <w:tab/>
      </w:r>
      <w:r>
        <w:rPr>
          <w:rFonts w:ascii="" w:hAnsi="" w:eastAsia=""/>
          <w:b w:val="0"/>
          <w:i w:val="0"/>
          <w:color w:val="000000"/>
          <w:sz w:val="20"/>
        </w:rPr>
        <w:t xml:space="preserve"/>
      </w:r>
      <w:r>
        <w:tab/>
      </w:r>
      <w:r>
        <w:tab/>
      </w:r>
      <w:r>
        <w:rPr>
          <w:rFonts w:ascii="" w:hAnsi="" w:eastAsia=""/>
          <w:b w:val="0"/>
          <w:i w:val="0"/>
          <w:color w:val="000000"/>
          <w:sz w:val="20"/>
        </w:rPr>
        <w:t xml:space="preserve"/>
      </w:r>
      <w:r>
        <w:tab/>
      </w:r>
      <w:r>
        <w:tab/>
      </w:r>
      <w:r>
        <w:rPr>
          <w:rFonts w:ascii="" w:hAnsi="" w:eastAsia=""/>
          <w:b w:val="0"/>
          <w:i w:val="0"/>
          <w:color w:val="000000"/>
          <w:sz w:val="20"/>
        </w:rPr>
        <w:t xml:space="preserve"/>
      </w:r>
      <w:r>
        <w:tab/>
      </w:r>
      <w:r>
        <w:tab/>
      </w:r>
      <w:r>
        <w:rPr>
          <w:rFonts w:ascii="" w:hAnsi="" w:eastAsia=""/>
          <w:b w:val="0"/>
          <w:i w:val="0"/>
          <w:color w:val="000000"/>
          <w:sz w:val="20"/>
        </w:rPr>
        <w:t xml:space="preserve"/>
      </w:r>
      <w:r>
        <w:br/>
      </w:r>
      <w:r>
        <w:tab/>
      </w:r>
      <w:r>
        <w:rPr>
          <w:rFonts w:ascii="" w:hAnsi="" w:eastAsia=""/>
          <w:b w:val="0"/>
          <w:i w:val="0"/>
          <w:color w:val="000000"/>
          <w:sz w:val="20"/>
        </w:rPr>
        <w:t/>
      </w:r>
      <w:r>
        <w:tab/>
      </w:r>
      <w:r>
        <w:rPr>
          <w:rFonts w:ascii="" w:hAnsi="" w:eastAsia=""/>
          <w:b w:val="0"/>
          <w:i w:val="0"/>
          <w:color w:val="000000"/>
          <w:sz w:val="20"/>
        </w:rPr>
        <w:t xml:space="preserve"/>
      </w:r>
    </w:p>
    <w:p>
      <w:pPr>
        <w:autoSpaceDN w:val="0"/>
        <w:autoSpaceDE w:val="0"/>
        <w:widowControl/>
        <w:spacing w:line="197" w:lineRule="auto" w:before="294" w:after="6"/>
        <w:ind w:left="1590" w:right="0" w:firstLine="0"/>
        <w:jc w:val="left"/>
      </w:pPr>
      <w:r>
        <w:rPr>
          <w:rFonts w:ascii="" w:hAnsi="" w:eastAsia=""/>
          <w:b/>
          <w:i w:val="0"/>
          <w:color w:val="000000"/>
          <w:sz w:val="23"/>
        </w:rPr>
        <w:t xml:space="preserve">5.2 Ineligible Transactions </w:t>
      </w:r>
    </w:p>
    <w:tbl>
      <w:tblPr>
        <w:tblW w:type="auto" w:w="0"/>
        <w:tblLayout w:type="fixed"/>
        <w:tblLook w:firstColumn="1" w:firstRow="1" w:lastColumn="0" w:lastRow="0" w:noHBand="0" w:noVBand="1" w:val="04A0"/>
        <w:tblInd w:w="900.0" w:type="dxa"/>
      </w:tblPr>
      <w:tblGrid>
        <w:gridCol w:w="3120"/>
        <w:gridCol w:w="3120"/>
        <w:gridCol w:w="3120"/>
      </w:tblGrid>
      <w:tr>
        <w:trPr>
          <w:trHeight w:hRule="exact" w:val="1696"/>
        </w:trPr>
        <w:tc>
          <w:tcPr>
            <w:tcW w:type="dxa" w:w="1140"/>
            <w:vMerge w:val="restart"/>
            <w:tcBorders/>
            <w:shd w:fill="ffffff"/>
            <w:tcMar>
              <w:start w:w="0" w:type="dxa"/>
              <w:end w:w="0" w:type="dxa"/>
            </w:tcMar>
            <w:tcMar>
              <w:start w:w="0" w:type="dxa"/>
              <w:end w:w="0" w:type="dxa"/>
            </w:tcMar>
          </w:tcPr>
          <w:p>
            <w:pPr>
              <w:autoSpaceDN w:val="0"/>
              <w:autoSpaceDE w:val="0"/>
              <w:widowControl/>
              <w:spacing w:line="245" w:lineRule="auto" w:before="8" w:after="0"/>
              <w:ind w:left="900" w:right="114" w:firstLine="0"/>
              <w:jc w:val="both"/>
            </w:pP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p>
        </w:tc>
        <w:tc>
          <w:tcPr>
            <w:tcW w:type="dxa" w:w="9080"/>
            <w:gridSpan w:val="2"/>
            <w:tcBorders/>
            <w:shd w:fill="ffffff"/>
            <w:tcMar>
              <w:start w:w="0" w:type="dxa"/>
              <w:end w:w="0" w:type="dxa"/>
            </w:tcMar>
            <w:tcMar>
              <w:start w:w="0" w:type="dxa"/>
              <w:end w:w="0" w:type="dxa"/>
            </w:tcMar>
          </w:tcPr>
          <w:p>
            <w:pPr>
              <w:autoSpaceDN w:val="0"/>
              <w:autoSpaceDE w:val="0"/>
              <w:widowControl/>
              <w:spacing w:line="245" w:lineRule="auto" w:before="32" w:after="0"/>
              <w:ind w:left="120" w:right="5904" w:firstLine="0"/>
              <w:jc w:val="left"/>
            </w:pPr>
            <w:r>
              <w:rPr>
                <w:rFonts w:ascii="" w:hAnsi="" w:eastAsia=""/>
                <w:b w:val="0"/>
                <w:i w:val="0"/>
                <w:color w:val="000000"/>
                <w:sz w:val="20"/>
              </w:rPr>
              <w:t xml:space="preserve">Construction Loans </w:t>
            </w:r>
            <w:r>
              <w:br/>
            </w:r>
            <w:r>
              <w:rPr>
                <w:rFonts w:ascii="" w:hAnsi="" w:eastAsia=""/>
                <w:b w:val="0"/>
                <w:i w:val="0"/>
                <w:color w:val="000000"/>
                <w:sz w:val="20"/>
              </w:rPr>
              <w:t xml:space="preserve">Builder Bailout &amp; Model leasebacks </w:t>
            </w:r>
            <w:r>
              <w:br/>
            </w:r>
            <w:r>
              <w:rPr>
                <w:rFonts w:ascii="" w:hAnsi="" w:eastAsia=""/>
                <w:b w:val="0"/>
                <w:i w:val="0"/>
                <w:color w:val="000000"/>
                <w:sz w:val="20"/>
              </w:rPr>
              <w:t xml:space="preserve">Conversion Loans </w:t>
            </w:r>
            <w:r>
              <w:br/>
            </w:r>
            <w:r>
              <w:rPr>
                <w:rFonts w:ascii="" w:hAnsi="" w:eastAsia=""/>
                <w:b w:val="0"/>
                <w:i w:val="0"/>
                <w:color w:val="000000"/>
                <w:sz w:val="20"/>
              </w:rPr>
              <w:t xml:space="preserve">Rent Credits </w:t>
            </w:r>
            <w:r>
              <w:br/>
            </w:r>
            <w:r>
              <w:rPr>
                <w:rFonts w:ascii="" w:hAnsi="" w:eastAsia=""/>
                <w:b w:val="0"/>
                <w:i w:val="0"/>
                <w:color w:val="000000"/>
                <w:sz w:val="20"/>
              </w:rPr>
              <w:t xml:space="preserve">Lease Option </w:t>
            </w:r>
            <w:r>
              <w:br/>
            </w:r>
            <w:r>
              <w:rPr>
                <w:rFonts w:ascii="" w:hAnsi="" w:eastAsia=""/>
                <w:b w:val="0"/>
                <w:i w:val="0"/>
                <w:color w:val="000000"/>
                <w:sz w:val="20"/>
              </w:rPr>
              <w:t xml:space="preserve">Delayed Financing </w:t>
            </w:r>
            <w:r>
              <w:br/>
            </w:r>
            <w:r>
              <w:rPr>
                <w:rFonts w:ascii="" w:hAnsi="" w:eastAsia=""/>
                <w:b w:val="0"/>
                <w:i w:val="0"/>
                <w:color w:val="000000"/>
                <w:sz w:val="20"/>
              </w:rPr>
              <w:t xml:space="preserve">Assignment of contracts </w:t>
            </w:r>
          </w:p>
        </w:tc>
      </w:tr>
      <w:tr>
        <w:trPr>
          <w:trHeight w:hRule="exact" w:val="312"/>
        </w:trPr>
        <w:tc>
          <w:tcPr>
            <w:tcW w:type="dxa" w:w="3120"/>
            <w:vMerge/>
            <w:tcBorders/>
          </w:tcPr>
          <w:p/>
        </w:tc>
        <w:tc>
          <w:tcPr>
            <w:tcW w:type="dxa" w:w="680"/>
            <w:tcBorders/>
            <w:shd w:fill="ffffff"/>
            <w:tcMar>
              <w:start w:w="0" w:type="dxa"/>
              <w:end w:w="0" w:type="dxa"/>
            </w:tcMar>
          </w:tcPr>
          <w:p>
            <w:pPr>
              <w:autoSpaceDN w:val="0"/>
              <w:autoSpaceDE w:val="0"/>
              <w:widowControl/>
              <w:spacing w:line="228" w:lineRule="auto" w:before="20" w:after="0"/>
              <w:ind w:left="0" w:right="144" w:firstLine="0"/>
              <w:jc w:val="right"/>
            </w:pPr>
            <w:r>
              <w:rPr>
                <w:rFonts w:ascii="" w:hAnsi="" w:eastAsia=""/>
                <w:b w:val="0"/>
                <w:i w:val="0"/>
                <w:color w:val="000000"/>
                <w:sz w:val="20"/>
              </w:rPr>
              <w:t>­</w:t>
            </w:r>
            <w:r>
              <w:rPr>
                <w:rFonts w:ascii="" w:hAnsi="" w:eastAsia=""/>
                <w:b w:val="0"/>
                <w:i w:val="0"/>
                <w:color w:val="000000"/>
                <w:sz w:val="20"/>
              </w:rPr>
              <w:t>​</w:t>
            </w:r>
          </w:p>
        </w:tc>
        <w:tc>
          <w:tcPr>
            <w:tcW w:type="dxa" w:w="8400"/>
            <w:tcBorders/>
            <w:shd w:fill="ffffff"/>
            <w:tcMar>
              <w:start w:w="0" w:type="dxa"/>
              <w:end w:w="0" w:type="dxa"/>
            </w:tcMar>
          </w:tcPr>
          <w:p>
            <w:pPr>
              <w:autoSpaceDN w:val="0"/>
              <w:autoSpaceDE w:val="0"/>
              <w:widowControl/>
              <w:spacing w:line="197" w:lineRule="auto" w:before="52" w:after="0"/>
              <w:ind w:left="160" w:right="0" w:firstLine="0"/>
              <w:jc w:val="left"/>
            </w:pPr>
            <w:r>
              <w:rPr>
                <w:rFonts w:ascii="" w:hAnsi="" w:eastAsia=""/>
                <w:b w:val="0"/>
                <w:i w:val="0"/>
                <w:color w:val="000000"/>
                <w:sz w:val="20"/>
              </w:rPr>
              <w:t xml:space="preserve">If there are no fees involved, the assignment may be considered on a case-by-case basis </w:t>
            </w:r>
          </w:p>
        </w:tc>
      </w:tr>
    </w:tbl>
    <w:p>
      <w:pPr>
        <w:autoSpaceDN w:val="0"/>
        <w:autoSpaceDE w:val="0"/>
        <w:widowControl/>
        <w:spacing w:line="197" w:lineRule="auto" w:before="254" w:after="0"/>
        <w:ind w:left="1590" w:right="0" w:firstLine="0"/>
        <w:jc w:val="left"/>
      </w:pPr>
      <w:r>
        <w:rPr>
          <w:rFonts w:ascii="" w:hAnsi="" w:eastAsia=""/>
          <w:b/>
          <w:i w:val="0"/>
          <w:color w:val="548DD4"/>
          <w:sz w:val="32"/>
        </w:rPr>
        <w:t xml:space="preserve">6. Credit Eligibility </w:t>
      </w:r>
    </w:p>
    <w:p>
      <w:pPr>
        <w:autoSpaceDN w:val="0"/>
        <w:autoSpaceDE w:val="0"/>
        <w:widowControl/>
        <w:spacing w:line="197" w:lineRule="auto" w:before="296" w:after="6"/>
        <w:ind w:left="1590" w:right="0" w:firstLine="0"/>
        <w:jc w:val="left"/>
      </w:pPr>
      <w:r>
        <w:rPr>
          <w:rFonts w:ascii="" w:hAnsi="" w:eastAsia=""/>
          <w:b/>
          <w:i w:val="0"/>
          <w:color w:val="000000"/>
          <w:sz w:val="23"/>
        </w:rPr>
        <w:t xml:space="preserve">6.1 Credit Report Detail </w:t>
      </w:r>
    </w:p>
    <w:tbl>
      <w:tblPr>
        <w:tblW w:type="auto" w:w="0"/>
        <w:tblLayout w:type="fixed"/>
        <w:tblLook w:firstColumn="1" w:firstRow="1" w:lastColumn="0" w:lastRow="0" w:noHBand="0" w:noVBand="1" w:val="04A0"/>
        <w:tblInd w:w="900.0" w:type="dxa"/>
      </w:tblPr>
      <w:tblGrid>
        <w:gridCol w:w="4680"/>
        <w:gridCol w:w="4680"/>
      </w:tblGrid>
      <w:tr>
        <w:trPr>
          <w:trHeight w:hRule="exact" w:val="786"/>
        </w:trPr>
        <w:tc>
          <w:tcPr>
            <w:tcW w:type="dxa" w:w="1140"/>
            <w:tcBorders/>
            <w:shd w:fill="ffffff"/>
            <w:tcMar>
              <w:start w:w="0" w:type="dxa"/>
              <w:end w:w="0" w:type="dxa"/>
            </w:tcMar>
          </w:tcPr>
          <w:p>
            <w:pPr>
              <w:autoSpaceDN w:val="0"/>
              <w:autoSpaceDE w:val="0"/>
              <w:widowControl/>
              <w:spacing w:line="245" w:lineRule="auto" w:before="6" w:after="0"/>
              <w:ind w:left="900" w:right="114" w:firstLine="0"/>
              <w:jc w:val="both"/>
            </w:pP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p>
        </w:tc>
        <w:tc>
          <w:tcPr>
            <w:tcW w:type="dxa" w:w="9380"/>
            <w:tcBorders/>
            <w:shd w:fill="ffffff"/>
            <w:tcMar>
              <w:start w:w="0" w:type="dxa"/>
              <w:end w:w="0" w:type="dxa"/>
            </w:tcMar>
          </w:tcPr>
          <w:p>
            <w:pPr>
              <w:autoSpaceDN w:val="0"/>
              <w:autoSpaceDE w:val="0"/>
              <w:widowControl/>
              <w:spacing w:line="245" w:lineRule="auto" w:before="38" w:after="0"/>
              <w:ind w:left="120" w:right="720" w:firstLine="0"/>
              <w:jc w:val="left"/>
            </w:pPr>
            <w:r>
              <w:rPr>
                <w:rFonts w:ascii="" w:hAnsi="" w:eastAsia=""/>
                <w:b w:val="0"/>
                <w:i w:val="0"/>
                <w:color w:val="000000"/>
                <w:sz w:val="20"/>
              </w:rPr>
              <w:t xml:space="preserve">A tri-merged in file credit report from all three repositories is required </w:t>
            </w:r>
            <w:r>
              <w:br/>
            </w:r>
            <w:r>
              <w:rPr>
                <w:rFonts w:ascii="" w:hAnsi="" w:eastAsia=""/>
                <w:b w:val="0"/>
                <w:i w:val="0"/>
                <w:color w:val="000000"/>
                <w:sz w:val="20"/>
              </w:rPr>
              <w:t xml:space="preserve">A written explanation for all inquiries within ninety (90) days of application is required </w:t>
            </w:r>
            <w:r>
              <w:br/>
            </w:r>
            <w:r>
              <w:rPr>
                <w:rFonts w:ascii="" w:hAnsi="" w:eastAsia=""/>
                <w:b w:val="0"/>
                <w:i w:val="0"/>
                <w:color w:val="000000"/>
                <w:sz w:val="20"/>
              </w:rPr>
              <w:t xml:space="preserve">Alternate confirmation that there is no new debt may include a new credit report, pre-close credit score </w:t>
            </w:r>
          </w:p>
        </w:tc>
      </w:tr>
    </w:tbl>
    <w:p>
      <w:pPr>
        <w:autoSpaceDN w:val="0"/>
        <w:autoSpaceDE w:val="0"/>
        <w:widowControl/>
        <w:spacing w:line="218" w:lineRule="auto" w:before="718" w:after="0"/>
        <w:ind w:left="0" w:right="0" w:firstLine="0"/>
        <w:jc w:val="center"/>
      </w:pPr>
      <w:r>
        <w:rPr>
          <w:rFonts w:ascii="" w:hAnsi="" w:eastAsia=""/>
          <w:b w:val="0"/>
          <w:i w:val="0"/>
          <w:color w:val="4F81BD"/>
          <w:sz w:val="22"/>
        </w:rPr>
        <w:t xml:space="preserve">7 </w:t>
      </w:r>
    </w:p>
    <w:p>
      <w:pPr>
        <w:sectPr>
          <w:pgSz w:w="12240" w:h="15840"/>
          <w:pgMar w:top="0" w:right="0" w:bottom="0" w:left="0" w:header="720" w:footer="720" w:gutter="0"/>
          <w:cols/>
          <w:docGrid w:linePitch="360"/>
        </w:sectPr>
      </w:pPr>
    </w:p>
    <w:p>
      <w:pPr>
        <w:autoSpaceDN w:val="0"/>
        <w:autoSpaceDE w:val="0"/>
        <w:widowControl/>
        <w:spacing w:line="197" w:lineRule="auto" w:before="1484" w:after="0"/>
        <w:ind w:left="2160" w:right="0" w:firstLine="0"/>
        <w:jc w:val="left"/>
      </w:pPr>
      <w:r>
        <w:rPr>
          <w:rFonts w:ascii="" w:hAnsi="" w:eastAsia=""/>
          <w:b w:val="0"/>
          <w:i w:val="0"/>
          <w:color w:val="000000"/>
          <w:sz w:val="20"/>
        </w:rPr>
        <w:t xml:space="preserve">soft-pull or gap report </w:t>
      </w:r>
    </w:p>
    <w:p>
      <w:pPr>
        <w:autoSpaceDN w:val="0"/>
        <w:tabs>
          <w:tab w:pos="2520" w:val="left"/>
        </w:tabs>
        <w:autoSpaceDE w:val="0"/>
        <w:widowControl/>
        <w:spacing w:line="226" w:lineRule="auto" w:before="14" w:after="0"/>
        <w:ind w:left="2160" w:right="0" w:firstLine="0"/>
        <w:jc w:val="left"/>
      </w:pP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Any new credit scores must be reviewed for qualifications </w:t>
      </w:r>
    </w:p>
    <w:p>
      <w:pPr>
        <w:autoSpaceDN w:val="0"/>
        <w:autoSpaceDE w:val="0"/>
        <w:widowControl/>
        <w:spacing w:line="197" w:lineRule="auto" w:before="296" w:after="0"/>
        <w:ind w:left="1590" w:right="0" w:firstLine="0"/>
        <w:jc w:val="left"/>
      </w:pPr>
      <w:r>
        <w:rPr>
          <w:rFonts w:ascii="" w:hAnsi="" w:eastAsia=""/>
          <w:b/>
          <w:i w:val="0"/>
          <w:color w:val="000000"/>
          <w:sz w:val="23"/>
        </w:rPr>
        <w:t xml:space="preserve">6.2 Housing History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Any additional housing history included in the loan file that reflects delinquencies will be subject to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review and must adhere to loan program matrix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All mortgages and rental payments should be current at time of closing. If the credit report or VOR/VOM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reflects a past- due status, updated documentation is required to verify the account is current </w:t>
      </w:r>
    </w:p>
    <w:p>
      <w:pPr>
        <w:autoSpaceDN w:val="0"/>
        <w:tabs>
          <w:tab w:pos="2520" w:val="left"/>
        </w:tabs>
        <w:autoSpaceDE w:val="0"/>
        <w:widowControl/>
        <w:spacing w:line="228" w:lineRule="auto" w:before="12" w:after="0"/>
        <w:ind w:left="2160" w:right="0" w:firstLine="0"/>
        <w:jc w:val="left"/>
      </w:pP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This includes loans qualifying through DSCR Plus even if the account showing the delinquency is not </w:t>
      </w:r>
    </w:p>
    <w:p>
      <w:pPr>
        <w:autoSpaceDN w:val="0"/>
        <w:autoSpaceDE w:val="0"/>
        <w:widowControl/>
        <w:spacing w:line="197" w:lineRule="auto" w:before="44" w:after="0"/>
        <w:ind w:left="2520" w:right="0" w:firstLine="0"/>
        <w:jc w:val="left"/>
      </w:pPr>
      <w:r>
        <w:rPr>
          <w:rFonts w:ascii="" w:hAnsi="" w:eastAsia=""/>
          <w:b w:val="0"/>
          <w:i w:val="0"/>
          <w:color w:val="000000"/>
          <w:sz w:val="20"/>
        </w:rPr>
        <w:t xml:space="preserve">the subject or primary residence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Housing history evidenced by twelve (12) months proof of payment via cancelled checks, bank debits or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institutional VOR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LOE or rent-free letter is required when a twelve (12) month housing history is not applicable.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Past due balloon will be considered a delinquency (1x30) and not a housing event, but only within one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hundred eighty (180) days of maturity </w:t>
      </w:r>
    </w:p>
    <w:p>
      <w:pPr>
        <w:autoSpaceDN w:val="0"/>
        <w:autoSpaceDE w:val="0"/>
        <w:widowControl/>
        <w:spacing w:line="197" w:lineRule="auto" w:before="296" w:after="0"/>
        <w:ind w:left="1590" w:right="0" w:firstLine="0"/>
        <w:jc w:val="left"/>
      </w:pPr>
      <w:r>
        <w:rPr>
          <w:rFonts w:ascii="" w:hAnsi="" w:eastAsia=""/>
          <w:b/>
          <w:i w:val="0"/>
          <w:color w:val="000000"/>
          <w:sz w:val="23"/>
        </w:rPr>
        <w:t xml:space="preserve">6.3 Credit Scores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To determine the Representative Credit Score, select the middle score when three (3) agency scores are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provided and the lower score when only two (2) agency scores are provided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Representative Credit Score of the Borrower is used to qualify </w:t>
      </w:r>
    </w:p>
    <w:p>
      <w:pPr>
        <w:autoSpaceDN w:val="0"/>
        <w:tabs>
          <w:tab w:pos="2520" w:val="left"/>
        </w:tabs>
        <w:autoSpaceDE w:val="0"/>
        <w:widowControl/>
        <w:spacing w:line="226" w:lineRule="auto" w:before="14" w:after="0"/>
        <w:ind w:left="2160" w:right="0" w:firstLine="0"/>
        <w:jc w:val="left"/>
      </w:pP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In the event there are multiple Borrowers, the Representative Credit Score will be the lower of the </w:t>
      </w:r>
    </w:p>
    <w:p>
      <w:pPr>
        <w:autoSpaceDN w:val="0"/>
        <w:autoSpaceDE w:val="0"/>
        <w:widowControl/>
        <w:spacing w:line="197" w:lineRule="auto" w:before="44" w:after="0"/>
        <w:ind w:left="2520" w:right="0" w:firstLine="0"/>
        <w:jc w:val="left"/>
      </w:pPr>
      <w:r>
        <w:rPr>
          <w:rFonts w:ascii="" w:hAnsi="" w:eastAsia=""/>
          <w:b w:val="0"/>
          <w:i w:val="0"/>
          <w:color w:val="000000"/>
          <w:sz w:val="20"/>
        </w:rPr>
        <w:t xml:space="preserve">two Borrowers’ middle scores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Borrower must have a valid score from at least two (2) of the following three (3) agencies: Experian,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Trans Union and Equifax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Credit rescores are not allowed except in the event of a disputed item or valid error. Documentation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must be provided to support the reason that a credit rescore was performed </w:t>
      </w:r>
    </w:p>
    <w:p>
      <w:pPr>
        <w:autoSpaceDN w:val="0"/>
        <w:autoSpaceDE w:val="0"/>
        <w:widowControl/>
        <w:spacing w:line="197" w:lineRule="auto" w:before="296" w:after="0"/>
        <w:ind w:left="1590" w:right="0" w:firstLine="0"/>
        <w:jc w:val="left"/>
      </w:pPr>
      <w:r>
        <w:rPr>
          <w:rFonts w:ascii="" w:hAnsi="" w:eastAsia=""/>
          <w:b/>
          <w:i w:val="0"/>
          <w:color w:val="000000"/>
          <w:sz w:val="23"/>
        </w:rPr>
        <w:t xml:space="preserve">6.4 Credit Report Requirements </w:t>
      </w:r>
    </w:p>
    <w:p>
      <w:pPr>
        <w:autoSpaceDN w:val="0"/>
        <w:autoSpaceDE w:val="0"/>
        <w:widowControl/>
        <w:spacing w:line="197" w:lineRule="auto" w:before="50" w:after="0"/>
        <w:ind w:left="1590" w:right="0" w:firstLine="0"/>
        <w:jc w:val="left"/>
      </w:pPr>
      <w:r>
        <w:rPr>
          <w:rFonts w:ascii="" w:hAnsi="" w:eastAsia=""/>
          <w:b/>
          <w:i w:val="0"/>
          <w:color w:val="000000"/>
          <w:sz w:val="23"/>
        </w:rPr>
        <w:t xml:space="preserve">6.4.1 Tradelines: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Each Borrower’s credit profile must include a minimum of two (2) trade lines within the last twenty-four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(24) months that show a twelve (12) month history, or a combined credit profile between Borrower and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co-Borrower with a minimum of three (3) tradelines </w:t>
      </w:r>
    </w:p>
    <w:p>
      <w:pPr>
        <w:autoSpaceDN w:val="0"/>
        <w:tabs>
          <w:tab w:pos="2160" w:val="left"/>
        </w:tabs>
        <w:autoSpaceDE w:val="0"/>
        <w:widowControl/>
        <w:spacing w:line="228"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Tradeline activity is not required. Eligible tradelines cannot have any derogatory history in previous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twelve (12) months. Examples of unacceptable tradelines include loans in a deferment period, collection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or charged-off accounts, accounts discharged through bankruptcy and authorized user accounts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Current housing not reporting on credit can be considered an open trade if supported by12 months bank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records (cancelled checks/debits)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Non-traditional tradelines are not allowed </w:t>
      </w:r>
    </w:p>
    <w:p>
      <w:pPr>
        <w:autoSpaceDN w:val="0"/>
        <w:autoSpaceDE w:val="0"/>
        <w:widowControl/>
        <w:spacing w:line="197" w:lineRule="auto" w:before="50" w:after="0"/>
        <w:ind w:left="1590" w:right="0" w:firstLine="0"/>
        <w:jc w:val="left"/>
      </w:pPr>
      <w:r>
        <w:rPr>
          <w:rFonts w:ascii="" w:hAnsi="" w:eastAsia=""/>
          <w:b/>
          <w:i w:val="0"/>
          <w:color w:val="000000"/>
          <w:sz w:val="23"/>
        </w:rPr>
        <w:t xml:space="preserve">6.4.2 Credit Events: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 xml:space="preserve">▪​Prior Bankruptcies (Chapter 7, 11, 13) are permitted based upon respective Alpha Everest Capital Program </w:t>
      </w:r>
      <w:r>
        <w:tab/>
      </w:r>
      <w:r>
        <w:rPr>
          <w:rFonts w:ascii="" w:hAnsi="" w:eastAsia=""/>
          <w:b w:val="0"/>
          <w:i w:val="0"/>
          <w:color w:val="000000"/>
          <w:sz w:val="20"/>
        </w:rPr>
        <w:t xml:space="preserve"/>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Matrix. Multiple bankruptcies are not permitted </w:t>
      </w:r>
    </w:p>
    <w:p>
      <w:pPr>
        <w:autoSpaceDN w:val="0"/>
        <w:tabs>
          <w:tab w:pos="2160" w:val="left"/>
        </w:tabs>
        <w:autoSpaceDE w:val="0"/>
        <w:widowControl/>
        <w:spacing w:line="228"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Prior Foreclosure, Short Sale, Deed-in-Lieu, and Modification (due to default), Notice of Default, Lis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Pendens, and 120+ days delinquency is permitted based upon respective Alpha Everest Capital Program Matrix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Borrowers currently enrolled in credit counseling or debt management plans are not permitted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All Judgments or liens affecting title must be satisfied or subordinated at closing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Non-title charge-offs and collections within three (3) years and exceeding $2,000 (individually or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aggregate) must be paid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Medical collections less than $15,000 are not required to be paid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All past due accounts must be brought current prior to closing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Disputed accounts may require a LOE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IRS tax payment plans approved by the IRS are permitted if current and do not carry a lien on any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property </w:t>
      </w:r>
    </w:p>
    <w:p>
      <w:pPr>
        <w:autoSpaceDN w:val="0"/>
        <w:autoSpaceDE w:val="0"/>
        <w:widowControl/>
        <w:spacing w:line="218" w:lineRule="auto" w:before="644" w:after="0"/>
        <w:ind w:left="0" w:right="0" w:firstLine="0"/>
        <w:jc w:val="center"/>
      </w:pPr>
      <w:r>
        <w:rPr>
          <w:rFonts w:ascii="" w:hAnsi="" w:eastAsia=""/>
          <w:b w:val="0"/>
          <w:i w:val="0"/>
          <w:color w:val="4F81BD"/>
          <w:sz w:val="22"/>
        </w:rPr>
        <w:t xml:space="preserve">8 </w:t>
      </w:r>
    </w:p>
    <w:p>
      <w:pPr>
        <w:sectPr>
          <w:pgSz w:w="12240" w:h="15840"/>
          <w:pgMar w:top="0" w:right="0" w:bottom="0" w:left="0" w:header="720" w:footer="720" w:gutter="0"/>
          <w:cols/>
          <w:docGrid w:linePitch="360"/>
        </w:sectPr>
      </w:pPr>
    </w:p>
    <w:p>
      <w:pPr>
        <w:autoSpaceDN w:val="0"/>
        <w:autoSpaceDE w:val="0"/>
        <w:widowControl/>
        <w:spacing w:line="1394" w:lineRule="exact" w:before="0" w:after="0"/>
        <w:ind w:left="0" w:right="0"/>
      </w:pPr>
    </w:p>
    <w:tbl>
      <w:tblPr>
        <w:tblW w:type="auto" w:w="0"/>
        <w:tblLayout w:type="fixed"/>
        <w:tblLook w:firstColumn="1" w:firstRow="1" w:lastColumn="0" w:lastRow="0" w:noHBand="0" w:noVBand="1" w:val="04A0"/>
        <w:tblInd w:w="900.0" w:type="dxa"/>
      </w:tblPr>
      <w:tblGrid>
        <w:gridCol w:w="4680"/>
        <w:gridCol w:w="4680"/>
      </w:tblGrid>
      <w:tr>
        <w:trPr>
          <w:trHeight w:hRule="exact" w:val="556"/>
        </w:trPr>
        <w:tc>
          <w:tcPr>
            <w:tcW w:type="dxa" w:w="1140"/>
            <w:tcBorders/>
            <w:shd w:fill="ffffff"/>
            <w:tcMar>
              <w:start w:w="0" w:type="dxa"/>
              <w:end w:w="0" w:type="dxa"/>
            </w:tcMar>
          </w:tcPr>
          <w:p>
            <w:pPr>
              <w:autoSpaceDN w:val="0"/>
              <w:autoSpaceDE w:val="0"/>
              <w:widowControl/>
              <w:spacing w:line="245" w:lineRule="auto" w:before="60" w:after="0"/>
              <w:ind w:left="864" w:right="114" w:firstLine="0"/>
              <w:jc w:val="right"/>
            </w:pPr>
            <w:r>
              <w:rPr>
                <w:rFonts w:ascii="" w:hAnsi="" w:eastAsia=""/>
                <w:b w:val="0"/>
                <w:i w:val="0"/>
                <w:color w:val="000000"/>
                <w:sz w:val="20"/>
              </w:rPr>
              <w:t>▪​</w:t>
            </w:r>
            <w:r>
              <w:br/>
            </w:r>
            <w:r>
              <w:rPr>
                <w:rFonts w:ascii="" w:hAnsi="" w:eastAsia=""/>
                <w:b w:val="0"/>
                <w:i w:val="0"/>
                <w:color w:val="000000"/>
                <w:sz w:val="20"/>
              </w:rPr>
              <w:t>▪​</w:t>
            </w:r>
          </w:p>
        </w:tc>
        <w:tc>
          <w:tcPr>
            <w:tcW w:type="dxa" w:w="9380"/>
            <w:tcBorders/>
            <w:shd w:fill="ffffff"/>
            <w:tcMar>
              <w:start w:w="0" w:type="dxa"/>
              <w:end w:w="0" w:type="dxa"/>
            </w:tcMar>
          </w:tcPr>
          <w:p>
            <w:pPr>
              <w:autoSpaceDN w:val="0"/>
              <w:autoSpaceDE w:val="0"/>
              <w:widowControl/>
              <w:spacing w:line="245" w:lineRule="auto" w:before="90" w:after="0"/>
              <w:ind w:left="120" w:right="720" w:firstLine="0"/>
              <w:jc w:val="left"/>
            </w:pPr>
            <w:r>
              <w:rPr>
                <w:rFonts w:ascii="" w:hAnsi="" w:eastAsia=""/>
                <w:b w:val="0"/>
                <w:i w:val="0"/>
                <w:color w:val="000000"/>
                <w:sz w:val="20"/>
              </w:rPr>
              <w:t xml:space="preserve">All Borrowers must be current on mortgage or rent at loan application </w:t>
            </w:r>
            <w:r>
              <w:br/>
            </w:r>
            <w:r>
              <w:rPr>
                <w:rFonts w:ascii="" w:hAnsi="" w:eastAsia=""/>
                <w:b w:val="0"/>
                <w:i w:val="0"/>
                <w:color w:val="000000"/>
                <w:sz w:val="20"/>
              </w:rPr>
              <w:t xml:space="preserve">All derogatory revolving and installment accounts &gt; sixty (60) days within four (4) year of closing require </w:t>
            </w:r>
          </w:p>
        </w:tc>
      </w:tr>
    </w:tbl>
    <w:p>
      <w:pPr>
        <w:autoSpaceDN w:val="0"/>
        <w:tabs>
          <w:tab w:pos="2160" w:val="left"/>
        </w:tabs>
        <w:autoSpaceDE w:val="0"/>
        <w:widowControl/>
        <w:spacing w:line="245" w:lineRule="auto" w:before="22" w:after="0"/>
        <w:ind w:left="1800" w:right="1728" w:firstLine="0"/>
        <w:jc w:val="left"/>
      </w:pPr>
      <w:r>
        <w:tab/>
      </w:r>
      <w:r>
        <w:rPr>
          <w:rFonts w:ascii="" w:hAnsi="" w:eastAsia=""/>
          <w:b w:val="0"/>
          <w:i w:val="0"/>
          <w:color w:val="000000"/>
          <w:sz w:val="20"/>
        </w:rPr>
        <w:t xml:space="preserve">a full explanation </w:t>
      </w:r>
      <w:r>
        <w:br/>
      </w:r>
      <w:r>
        <w:rPr>
          <w:rFonts w:ascii="" w:hAnsi="" w:eastAsia=""/>
          <w:b w:val="0"/>
          <w:i w:val="0"/>
          <w:color w:val="000000"/>
          <w:sz w:val="20"/>
        </w:rPr>
        <w:t>▪​</w:t>
      </w:r>
      <w:r>
        <w:tab/>
      </w:r>
      <w:r>
        <w:rPr>
          <w:rFonts w:ascii="" w:hAnsi="" w:eastAsia=""/>
          <w:b w:val="0"/>
          <w:i w:val="0"/>
          <w:color w:val="000000"/>
          <w:sz w:val="20"/>
        </w:rPr>
        <w:t xml:space="preserve">Delinquent credit belonging to ex-spouse can be excluded if late payments occurred after the divorce / </w:t>
      </w:r>
      <w:r>
        <w:tab/>
      </w:r>
      <w:r>
        <w:rPr>
          <w:rFonts w:ascii="" w:hAnsi="" w:eastAsia=""/>
          <w:b w:val="0"/>
          <w:i w:val="0"/>
          <w:color w:val="000000"/>
          <w:sz w:val="20"/>
        </w:rPr>
        <w:t xml:space="preserve">separation, and divorce decree / separation agreement indicates derogatory accounts belong solely to </w:t>
      </w:r>
      <w:r>
        <w:tab/>
      </w:r>
      <w:r>
        <w:rPr>
          <w:rFonts w:ascii="" w:hAnsi="" w:eastAsia=""/>
          <w:b w:val="0"/>
          <w:i w:val="0"/>
          <w:color w:val="000000"/>
          <w:sz w:val="20"/>
        </w:rPr>
        <w:t xml:space="preserve">the ex-spouse </w:t>
      </w:r>
      <w:r>
        <w:br/>
      </w:r>
      <w:r>
        <w:rPr>
          <w:rFonts w:ascii="" w:hAnsi="" w:eastAsia=""/>
          <w:b w:val="0"/>
          <w:i w:val="0"/>
          <w:color w:val="000000"/>
          <w:sz w:val="20"/>
        </w:rPr>
        <w:t>▪​</w:t>
      </w:r>
      <w:r>
        <w:tab/>
      </w:r>
      <w:r>
        <w:rPr>
          <w:rFonts w:ascii="" w:hAnsi="" w:eastAsia=""/>
          <w:b w:val="0"/>
          <w:i w:val="0"/>
          <w:color w:val="000000"/>
          <w:sz w:val="20"/>
        </w:rPr>
        <w:t xml:space="preserve">Security freeze – Credit reports may not contain a security freeze and should be resolved prior to an </w:t>
      </w:r>
      <w:r>
        <w:tab/>
      </w:r>
      <w:r>
        <w:rPr>
          <w:rFonts w:ascii="" w:hAnsi="" w:eastAsia=""/>
          <w:b w:val="0"/>
          <w:i w:val="0"/>
          <w:color w:val="000000"/>
          <w:sz w:val="20"/>
        </w:rPr>
        <w:t xml:space="preserve">underwriting decision. Unfrozen reports after the date of the original credit report require a new </w:t>
      </w:r>
      <w:r>
        <w:tab/>
      </w:r>
      <w:r>
        <w:rPr>
          <w:rFonts w:ascii="" w:hAnsi="" w:eastAsia=""/>
          <w:b w:val="0"/>
          <w:i w:val="0"/>
          <w:color w:val="000000"/>
          <w:sz w:val="20"/>
        </w:rPr>
        <w:t xml:space="preserve">tri-merged report </w:t>
      </w:r>
      <w:r>
        <w:br/>
      </w:r>
      <w:r>
        <w:rPr>
          <w:rFonts w:ascii="" w:hAnsi="" w:eastAsia=""/>
          <w:b w:val="0"/>
          <w:i w:val="0"/>
          <w:color w:val="000000"/>
          <w:sz w:val="20"/>
        </w:rPr>
        <w:t>▪​</w:t>
      </w:r>
      <w:r>
        <w:tab/>
      </w:r>
      <w:r>
        <w:rPr>
          <w:rFonts w:ascii="" w:hAnsi="" w:eastAsia=""/>
          <w:b w:val="0"/>
          <w:i w:val="0"/>
          <w:color w:val="000000"/>
          <w:sz w:val="20"/>
        </w:rPr>
        <w:t xml:space="preserve">Defaulted timeshares – Timeshares including delinquencies are treated as installment loans and not a </w:t>
      </w:r>
      <w:r>
        <w:tab/>
      </w:r>
      <w:r>
        <w:rPr>
          <w:rFonts w:ascii="" w:hAnsi="" w:eastAsia=""/>
          <w:b w:val="0"/>
          <w:i w:val="0"/>
          <w:color w:val="000000"/>
          <w:sz w:val="20"/>
        </w:rPr>
        <w:t xml:space="preserve">housing event </w:t>
      </w:r>
    </w:p>
    <w:p>
      <w:pPr>
        <w:autoSpaceDN w:val="0"/>
        <w:autoSpaceDE w:val="0"/>
        <w:widowControl/>
        <w:spacing w:line="197" w:lineRule="auto" w:before="354" w:after="0"/>
        <w:ind w:left="1590" w:right="0" w:firstLine="0"/>
        <w:jc w:val="left"/>
      </w:pPr>
      <w:r>
        <w:rPr>
          <w:rFonts w:ascii="" w:hAnsi="" w:eastAsia=""/>
          <w:b/>
          <w:i w:val="0"/>
          <w:color w:val="548DD4"/>
          <w:sz w:val="32"/>
        </w:rPr>
        <w:t xml:space="preserve">7. Debt Service Coverage Ratio (“DSCR”) </w:t>
      </w:r>
    </w:p>
    <w:p>
      <w:pPr>
        <w:autoSpaceDN w:val="0"/>
        <w:tabs>
          <w:tab w:pos="1800" w:val="left"/>
          <w:tab w:pos="2160" w:val="left"/>
        </w:tabs>
        <w:autoSpaceDE w:val="0"/>
        <w:widowControl/>
        <w:spacing w:line="245" w:lineRule="auto" w:before="296" w:after="6"/>
        <w:ind w:left="1590" w:right="1728" w:firstLine="0"/>
        <w:jc w:val="left"/>
      </w:pPr>
      <w:r>
        <w:rPr>
          <w:rFonts w:ascii="" w:hAnsi="" w:eastAsia=""/>
          <w:b/>
          <w:i w:val="0"/>
          <w:color w:val="000000"/>
          <w:sz w:val="23"/>
        </w:rPr>
        <w:t xml:space="preserve">7.1 DSCR Calculation </w:t>
      </w:r>
      <w:r>
        <w:br/>
      </w:r>
      <w:r>
        <w:tab/>
      </w:r>
      <w:r>
        <w:rPr>
          <w:rFonts w:ascii="" w:hAnsi="" w:eastAsia=""/>
          <w:b w:val="0"/>
          <w:i w:val="0"/>
          <w:color w:val="000000"/>
          <w:sz w:val="20"/>
        </w:rPr>
        <w:t>▪​</w:t>
      </w:r>
      <w:r>
        <w:tab/>
      </w:r>
      <w:r>
        <w:rPr>
          <w:rFonts w:ascii="" w:hAnsi="" w:eastAsia=""/>
          <w:b w:val="0"/>
          <w:i w:val="0"/>
          <w:color w:val="000000"/>
          <w:sz w:val="20"/>
        </w:rPr>
        <w:t xml:space="preserve">A Debt Service Coverage Ratio (DSCR) ratio is required. DSCR = Gross Rental Income/ PITIA </w:t>
      </w:r>
      <w:r>
        <w:br/>
      </w:r>
      <w:r>
        <w:tab/>
      </w:r>
      <w:r>
        <w:rPr>
          <w:rFonts w:ascii="" w:hAnsi="" w:eastAsia=""/>
          <w:b w:val="0"/>
          <w:i w:val="0"/>
          <w:color w:val="000000"/>
          <w:sz w:val="20"/>
        </w:rPr>
        <w:t>▪​</w:t>
      </w:r>
      <w:r>
        <w:tab/>
      </w:r>
      <w:r>
        <w:rPr>
          <w:rFonts w:ascii="" w:hAnsi="" w:eastAsia=""/>
          <w:b w:val="0"/>
          <w:i w:val="0"/>
          <w:color w:val="000000"/>
          <w:sz w:val="20"/>
        </w:rPr>
        <w:t xml:space="preserve">DSCR loans will be qualified at original Note Rate, regardless of ARM or Fixed </w:t>
      </w:r>
      <w:r>
        <w:br/>
      </w:r>
      <w:r>
        <w:tab/>
      </w:r>
      <w:r>
        <w:rPr>
          <w:rFonts w:ascii="" w:hAnsi="" w:eastAsia=""/>
          <w:b w:val="0"/>
          <w:i w:val="0"/>
          <w:color w:val="000000"/>
          <w:sz w:val="20"/>
        </w:rPr>
        <w:t>▪​</w:t>
      </w:r>
      <w:r>
        <w:tab/>
      </w:r>
      <w:r>
        <w:rPr>
          <w:rFonts w:ascii="" w:hAnsi="" w:eastAsia=""/>
          <w:b w:val="0"/>
          <w:i w:val="0"/>
          <w:color w:val="000000"/>
          <w:sz w:val="20"/>
        </w:rPr>
        <w:t xml:space="preserve">Gross Income will be calculated using the lower of the A) executed lease agreement or B) market rent </w:t>
      </w:r>
      <w:r>
        <w:tab/>
      </w:r>
      <w:r>
        <w:tab/>
      </w:r>
      <w:r>
        <w:rPr>
          <w:rFonts w:ascii="" w:hAnsi="" w:eastAsia=""/>
          <w:b w:val="0"/>
          <w:i w:val="0"/>
          <w:color w:val="000000"/>
          <w:sz w:val="20"/>
        </w:rPr>
        <w:t xml:space="preserve">from applicable Appraisal </w:t>
      </w:r>
      <w:r>
        <w:br/>
      </w:r>
      <w:r>
        <w:tab/>
      </w:r>
      <w:r>
        <w:rPr>
          <w:rFonts w:ascii="" w:hAnsi="" w:eastAsia=""/>
          <w:b w:val="0"/>
          <w:i w:val="0"/>
          <w:color w:val="000000"/>
          <w:sz w:val="20"/>
        </w:rPr>
        <w:t>▪​</w:t>
      </w:r>
      <w:r>
        <w:tab/>
      </w:r>
      <w:r>
        <w:rPr>
          <w:rFonts w:ascii="" w:hAnsi="" w:eastAsia=""/>
          <w:b w:val="0"/>
          <w:i w:val="0"/>
          <w:color w:val="000000"/>
          <w:sz w:val="20"/>
        </w:rPr>
        <w:t xml:space="preserve">If executed lease agreement reflects a higher monthly rent than Appraisal, it may be used in the </w:t>
      </w:r>
      <w:r>
        <w:tab/>
      </w:r>
      <w:r>
        <w:tab/>
      </w:r>
      <w:r>
        <w:rPr>
          <w:rFonts w:ascii="" w:hAnsi="" w:eastAsia=""/>
          <w:b w:val="0"/>
          <w:i w:val="0"/>
          <w:color w:val="000000"/>
          <w:sz w:val="20"/>
        </w:rPr>
        <w:t xml:space="preserve">calculation with sufficient evidence of receipt. Three (3) most recent, consecutive months should be </w:t>
      </w:r>
      <w:r>
        <w:tab/>
      </w:r>
      <w:r>
        <w:tab/>
      </w:r>
      <w:r>
        <w:rPr>
          <w:rFonts w:ascii="" w:hAnsi="" w:eastAsia=""/>
          <w:b w:val="0"/>
          <w:i w:val="0"/>
          <w:color w:val="000000"/>
          <w:sz w:val="20"/>
        </w:rPr>
        <w:t xml:space="preserve">provided (for refinance only) </w:t>
      </w:r>
    </w:p>
    <w:tbl>
      <w:tblPr>
        <w:tblW w:type="auto" w:w="0"/>
        <w:tblLayout w:type="fixed"/>
        <w:tblLook w:firstColumn="1" w:firstRow="1" w:lastColumn="0" w:lastRow="0" w:noHBand="0" w:noVBand="1" w:val="04A0"/>
        <w:tblInd w:w="900.0" w:type="dxa"/>
      </w:tblPr>
      <w:tblGrid>
        <w:gridCol w:w="3120"/>
        <w:gridCol w:w="3120"/>
        <w:gridCol w:w="3120"/>
      </w:tblGrid>
      <w:tr>
        <w:trPr>
          <w:trHeight w:hRule="exact" w:val="240"/>
        </w:trPr>
        <w:tc>
          <w:tcPr>
            <w:tcW w:type="dxa" w:w="1140"/>
            <w:vMerge w:val="restart"/>
            <w:tcBorders/>
            <w:tcMar>
              <w:start w:w="0" w:type="dxa"/>
              <w:end w:w="0" w:type="dxa"/>
            </w:tcMar>
            <w:tcMar>
              <w:start w:w="0" w:type="dxa"/>
              <w:end w:w="0" w:type="dxa"/>
            </w:tcMar>
            <w:tcMar>
              <w:start w:w="0" w:type="dxa"/>
              <w:end w:w="0" w:type="dxa"/>
            </w:tcMar>
          </w:tcPr>
          <w:p>
            <w:pPr>
              <w:autoSpaceDN w:val="0"/>
              <w:autoSpaceDE w:val="0"/>
              <w:widowControl/>
              <w:spacing w:line="218" w:lineRule="auto" w:before="8" w:after="0"/>
              <w:ind w:left="0" w:right="114" w:firstLine="0"/>
              <w:jc w:val="right"/>
            </w:pPr>
            <w:r>
              <w:rPr>
                <w:rFonts w:ascii="" w:hAnsi="" w:eastAsia=""/>
                <w:b w:val="0"/>
                <w:i w:val="0"/>
                <w:color w:val="000000"/>
                <w:sz w:val="20"/>
              </w:rPr>
              <w:t>▪​</w:t>
            </w:r>
          </w:p>
        </w:tc>
        <w:tc>
          <w:tcPr>
            <w:tcW w:type="dxa" w:w="9400"/>
            <w:gridSpan w:val="2"/>
            <w:tcBorders/>
            <w:tcMar>
              <w:start w:w="0" w:type="dxa"/>
              <w:end w:w="0" w:type="dxa"/>
            </w:tcMar>
            <w:tcMar>
              <w:start w:w="0" w:type="dxa"/>
              <w:end w:w="0" w:type="dxa"/>
            </w:tcMar>
          </w:tcPr>
          <w:p>
            <w:pPr>
              <w:autoSpaceDN w:val="0"/>
              <w:autoSpaceDE w:val="0"/>
              <w:widowControl/>
              <w:spacing w:line="197" w:lineRule="auto" w:before="38" w:after="0"/>
              <w:ind w:left="120" w:right="0" w:firstLine="0"/>
              <w:jc w:val="left"/>
            </w:pPr>
            <w:r>
              <w:rPr>
                <w:rFonts w:ascii="" w:hAnsi="" w:eastAsia=""/>
                <w:b w:val="0"/>
                <w:i w:val="0"/>
                <w:color w:val="000000"/>
                <w:sz w:val="20"/>
              </w:rPr>
              <w:t xml:space="preserve">Short Term Rental Income/AirBnB Income will be eligible for the DSCR Plus Program </w:t>
            </w:r>
          </w:p>
        </w:tc>
      </w:tr>
      <w:tr>
        <w:trPr>
          <w:trHeight w:hRule="exact" w:val="240"/>
        </w:trPr>
        <w:tc>
          <w:tcPr>
            <w:tcW w:type="dxa" w:w="3120"/>
            <w:vMerge/>
            <w:tcBorders/>
          </w:tcPr>
          <w:p/>
        </w:tc>
        <w:tc>
          <w:tcPr>
            <w:tcW w:type="dxa" w:w="360"/>
            <w:tcBorders/>
            <w:tcMar>
              <w:start w:w="0" w:type="dxa"/>
              <w:end w:w="0" w:type="dxa"/>
            </w:tcMar>
          </w:tcPr>
          <w:p>
            <w:pPr>
              <w:autoSpaceDN w:val="0"/>
              <w:autoSpaceDE w:val="0"/>
              <w:widowControl/>
              <w:spacing w:line="226" w:lineRule="auto" w:before="10" w:after="0"/>
              <w:ind w:left="0" w:right="0" w:firstLine="0"/>
              <w:jc w:val="center"/>
            </w:pPr>
            <w:r>
              <w:rPr>
                <w:rFonts w:ascii="" w:hAnsi="" w:eastAsia=""/>
                <w:b w:val="0"/>
                <w:i w:val="0"/>
                <w:color w:val="C00000"/>
                <w:sz w:val="20"/>
              </w:rPr>
              <w:t>–</w:t>
            </w:r>
            <w:r>
              <w:rPr>
                <w:rFonts w:ascii="" w:hAnsi="" w:eastAsia=""/>
                <w:b w:val="0"/>
                <w:i w:val="0"/>
                <w:color w:val="C00000"/>
                <w:sz w:val="20"/>
              </w:rPr>
              <w:t>​</w:t>
            </w:r>
          </w:p>
        </w:tc>
        <w:tc>
          <w:tcPr>
            <w:tcW w:type="dxa" w:w="9040"/>
            <w:tcBorders/>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Max 75% LTV Purchase / 70% LTV Refi (Rate &amp; Term and Cash-Out) &amp; Minimum 1.00x DSCR</w:t>
            </w:r>
          </w:p>
        </w:tc>
      </w:tr>
      <w:tr>
        <w:trPr>
          <w:trHeight w:hRule="exact" w:val="268"/>
        </w:trPr>
        <w:tc>
          <w:tcPr>
            <w:tcW w:type="dxa" w:w="3120"/>
            <w:vMerge/>
            <w:tcBorders/>
          </w:tcPr>
          <w:p/>
        </w:tc>
        <w:tc>
          <w:tcPr>
            <w:tcW w:type="dxa" w:w="360"/>
            <w:tcBorders/>
            <w:tcMar>
              <w:start w:w="0" w:type="dxa"/>
              <w:end w:w="0" w:type="dxa"/>
            </w:tcMar>
          </w:tcPr>
          <w:p>
            <w:pPr>
              <w:autoSpaceDN w:val="0"/>
              <w:autoSpaceDE w:val="0"/>
              <w:widowControl/>
              <w:spacing w:line="226" w:lineRule="auto" w:before="16"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9040"/>
            <w:tcBorders/>
            <w:tcMar>
              <w:start w:w="0" w:type="dxa"/>
              <w:end w:w="0" w:type="dxa"/>
            </w:tcMar>
          </w:tcPr>
          <w:p>
            <w:pPr>
              <w:autoSpaceDN w:val="0"/>
              <w:autoSpaceDE w:val="0"/>
              <w:widowControl/>
              <w:spacing w:line="197" w:lineRule="auto" w:before="46" w:after="0"/>
              <w:ind w:left="120" w:right="0" w:firstLine="0"/>
              <w:jc w:val="left"/>
            </w:pPr>
            <w:r>
              <w:rPr>
                <w:rFonts w:ascii="" w:hAnsi="" w:eastAsia=""/>
                <w:b w:val="0"/>
                <w:i w:val="0"/>
                <w:color w:val="000000"/>
                <w:sz w:val="20"/>
              </w:rPr>
              <w:t xml:space="preserve">Gross rent to be determined by 12-month trailing actual short-term rental income or AirDNA market </w:t>
            </w:r>
          </w:p>
        </w:tc>
      </w:tr>
    </w:tbl>
    <w:p>
      <w:pPr>
        <w:autoSpaceDN w:val="0"/>
        <w:tabs>
          <w:tab w:pos="2520" w:val="left"/>
        </w:tabs>
        <w:autoSpaceDE w:val="0"/>
        <w:widowControl/>
        <w:spacing w:line="245" w:lineRule="auto" w:before="22" w:after="0"/>
        <w:ind w:left="2160" w:right="2304" w:firstLine="0"/>
        <w:jc w:val="left"/>
      </w:pPr>
      <w:r>
        <w:tab/>
      </w:r>
      <w:r>
        <w:rPr>
          <w:rFonts w:ascii="" w:hAnsi="" w:eastAsia=""/>
          <w:b w:val="0"/>
          <w:i w:val="0"/>
          <w:color w:val="000000"/>
          <w:sz w:val="20"/>
        </w:rPr>
        <w:t xml:space="preserve">projection, with an 80% haircut applied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Short term rental history to be verified from a third-party property management provider. </w:t>
      </w:r>
    </w:p>
    <w:p>
      <w:pPr>
        <w:autoSpaceDN w:val="0"/>
        <w:autoSpaceDE w:val="0"/>
        <w:widowControl/>
        <w:spacing w:line="197" w:lineRule="auto" w:before="46" w:after="0"/>
        <w:ind w:left="2520" w:right="0" w:firstLine="0"/>
        <w:jc w:val="left"/>
      </w:pPr>
      <w:r>
        <w:rPr>
          <w:rFonts w:ascii="" w:hAnsi="" w:eastAsia=""/>
          <w:b w:val="0"/>
          <w:i w:val="0"/>
          <w:color w:val="000000"/>
          <w:sz w:val="20"/>
        </w:rPr>
        <w:t xml:space="preserve">Information must contain property address/ID specific to subject </w:t>
      </w:r>
    </w:p>
    <w:p>
      <w:pPr>
        <w:autoSpaceDN w:val="0"/>
        <w:tabs>
          <w:tab w:pos="1800" w:val="left"/>
          <w:tab w:pos="2160" w:val="left"/>
        </w:tabs>
        <w:autoSpaceDE w:val="0"/>
        <w:widowControl/>
        <w:spacing w:line="245" w:lineRule="auto" w:before="294" w:after="0"/>
        <w:ind w:left="1590" w:right="1440" w:firstLine="0"/>
        <w:jc w:val="left"/>
      </w:pPr>
      <w:r>
        <w:rPr>
          <w:rFonts w:ascii="" w:hAnsi="" w:eastAsia=""/>
          <w:b/>
          <w:i w:val="0"/>
          <w:color w:val="000000"/>
          <w:sz w:val="23"/>
        </w:rPr>
        <w:t xml:space="preserve">7.2 Rent Loss Insurance </w:t>
      </w:r>
      <w:r>
        <w:br/>
      </w:r>
      <w:r>
        <w:tab/>
      </w:r>
      <w:r>
        <w:rPr>
          <w:rFonts w:ascii="" w:hAnsi="" w:eastAsia=""/>
          <w:b w:val="0"/>
          <w:i w:val="0"/>
          <w:color w:val="000000"/>
          <w:sz w:val="20"/>
        </w:rPr>
        <w:t>▪​</w:t>
      </w:r>
      <w:r>
        <w:tab/>
      </w:r>
      <w:r>
        <w:rPr>
          <w:rFonts w:ascii="" w:hAnsi="" w:eastAsia=""/>
          <w:b w:val="0"/>
          <w:i w:val="0"/>
          <w:color w:val="000000"/>
          <w:sz w:val="20"/>
        </w:rPr>
        <w:t xml:space="preserve">Rent loss insurance for the subject property is required and must equal at least six (6) months of local </w:t>
      </w:r>
      <w:r>
        <w:tab/>
      </w:r>
      <w:r>
        <w:tab/>
      </w:r>
      <w:r>
        <w:rPr>
          <w:rFonts w:ascii="" w:hAnsi="" w:eastAsia=""/>
          <w:b w:val="0"/>
          <w:i w:val="0"/>
          <w:color w:val="000000"/>
          <w:sz w:val="20"/>
        </w:rPr>
        <w:t xml:space="preserve">average monthly rents </w:t>
      </w:r>
      <w:r>
        <w:br/>
      </w:r>
      <w:r>
        <w:tab/>
      </w:r>
      <w:r>
        <w:rPr>
          <w:rFonts w:ascii="" w:hAnsi="" w:eastAsia=""/>
          <w:b w:val="0"/>
          <w:i w:val="0"/>
          <w:color w:val="000000"/>
          <w:sz w:val="20"/>
        </w:rPr>
        <w:t>▪​</w:t>
      </w:r>
      <w:r>
        <w:tab/>
      </w:r>
      <w:r>
        <w:rPr>
          <w:rFonts w:ascii="" w:hAnsi="" w:eastAsia=""/>
          <w:b w:val="0"/>
          <w:i w:val="0"/>
          <w:color w:val="000000"/>
          <w:sz w:val="20"/>
        </w:rPr>
        <w:t xml:space="preserve">Blanket policies covering the subject property are permitted for condo and PUD only </w:t>
      </w:r>
    </w:p>
    <w:p>
      <w:pPr>
        <w:autoSpaceDN w:val="0"/>
        <w:autoSpaceDE w:val="0"/>
        <w:widowControl/>
        <w:spacing w:line="197" w:lineRule="auto" w:before="316" w:after="0"/>
        <w:ind w:left="1590" w:right="0" w:firstLine="0"/>
        <w:jc w:val="left"/>
      </w:pPr>
      <w:r>
        <w:rPr>
          <w:rFonts w:ascii="" w:hAnsi="" w:eastAsia=""/>
          <w:b/>
          <w:i w:val="0"/>
          <w:color w:val="548DD4"/>
          <w:sz w:val="32"/>
        </w:rPr>
        <w:t xml:space="preserve">8. Asset </w:t>
      </w:r>
    </w:p>
    <w:p>
      <w:pPr>
        <w:autoSpaceDN w:val="0"/>
        <w:tabs>
          <w:tab w:pos="1800" w:val="left"/>
          <w:tab w:pos="2160" w:val="left"/>
          <w:tab w:pos="2520" w:val="left"/>
        </w:tabs>
        <w:autoSpaceDE w:val="0"/>
        <w:widowControl/>
        <w:spacing w:line="245" w:lineRule="auto" w:before="294" w:after="6"/>
        <w:ind w:left="1590" w:right="1440" w:firstLine="0"/>
        <w:jc w:val="left"/>
      </w:pPr>
      <w:r>
        <w:rPr>
          <w:rFonts w:ascii="" w:hAnsi="" w:eastAsia=""/>
          <w:b/>
          <w:i w:val="0"/>
          <w:color w:val="000000"/>
          <w:sz w:val="23"/>
        </w:rPr>
        <w:t xml:space="preserve">8.1 Documentation </w:t>
      </w:r>
      <w:r>
        <w:br/>
      </w:r>
      <w:r>
        <w:tab/>
      </w:r>
      <w:r>
        <w:rPr>
          <w:rFonts w:ascii="" w:hAnsi="" w:eastAsia=""/>
          <w:b w:val="0"/>
          <w:i w:val="0"/>
          <w:color w:val="000000"/>
          <w:sz w:val="20"/>
        </w:rPr>
        <w:t>▪​</w:t>
      </w:r>
      <w:r>
        <w:tab/>
      </w:r>
      <w:r>
        <w:rPr>
          <w:rFonts w:ascii="" w:hAnsi="" w:eastAsia=""/>
          <w:b w:val="0"/>
          <w:i w:val="0"/>
          <w:color w:val="000000"/>
          <w:sz w:val="20"/>
        </w:rPr>
        <w:t xml:space="preserve">Full Asset Documentation is required for both funds to close and reserves. For most asset types, this </w:t>
      </w:r>
      <w:r>
        <w:tab/>
      </w:r>
      <w:r>
        <w:tab/>
      </w:r>
      <w:r>
        <w:rPr>
          <w:rFonts w:ascii="" w:hAnsi="" w:eastAsia=""/>
          <w:b w:val="0"/>
          <w:i w:val="0"/>
          <w:color w:val="000000"/>
          <w:sz w:val="20"/>
        </w:rPr>
        <w:t xml:space="preserve">would include all pages of the most recent one-month (1) statement, the most recent quarterly </w:t>
      </w:r>
      <w:r>
        <w:tab/>
      </w:r>
      <w:r>
        <w:tab/>
      </w:r>
      <w:r>
        <w:rPr>
          <w:rFonts w:ascii="" w:hAnsi="" w:eastAsia=""/>
          <w:b w:val="0"/>
          <w:i w:val="0"/>
          <w:color w:val="000000"/>
          <w:sz w:val="20"/>
        </w:rPr>
        <w:t xml:space="preserve">statement, or FNMA approved third party direct pull services </w:t>
      </w:r>
      <w:r>
        <w:br/>
      </w:r>
      <w:r>
        <w:tab/>
      </w:r>
      <w:r>
        <w:rPr>
          <w:rFonts w:ascii="" w:hAnsi="" w:eastAsia=""/>
          <w:b w:val="0"/>
          <w:i w:val="0"/>
          <w:color w:val="000000"/>
          <w:sz w:val="20"/>
        </w:rPr>
        <w:t>▪​</w:t>
      </w:r>
      <w:r>
        <w:tab/>
      </w:r>
      <w:r>
        <w:rPr>
          <w:rFonts w:ascii="" w:hAnsi="" w:eastAsia=""/>
          <w:b w:val="0"/>
          <w:i w:val="0"/>
          <w:color w:val="000000"/>
          <w:sz w:val="20"/>
        </w:rPr>
        <w:t xml:space="preserve">Business accounts may only be used to meet down payment and/or reserve requirements if the </w:t>
      </w:r>
      <w:r>
        <w:tab/>
      </w:r>
      <w:r>
        <w:tab/>
      </w:r>
      <w:r>
        <w:rPr>
          <w:rFonts w:ascii="" w:hAnsi="" w:eastAsia=""/>
          <w:b w:val="0"/>
          <w:i w:val="0"/>
          <w:color w:val="000000"/>
          <w:sz w:val="20"/>
        </w:rPr>
        <w:t xml:space="preserve">Borrower(s) are 100% owners of the business and requires: </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A letter from the accountant for business OR </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An underwriter cash flow analysis of the business balance sheet to confirm that the withdrawal will </w:t>
      </w:r>
      <w:r>
        <w:tab/>
      </w:r>
      <w:r>
        <w:tab/>
      </w:r>
      <w:r>
        <w:tab/>
      </w:r>
      <w:r>
        <w:rPr>
          <w:rFonts w:ascii="" w:hAnsi="" w:eastAsia=""/>
          <w:b w:val="0"/>
          <w:i w:val="0"/>
          <w:color w:val="000000"/>
          <w:sz w:val="20"/>
        </w:rPr>
        <w:t xml:space="preserve">not negatively impact the business </w:t>
      </w:r>
    </w:p>
    <w:tbl>
      <w:tblPr>
        <w:tblW w:type="auto" w:w="0"/>
        <w:tblLayout w:type="fixed"/>
        <w:tblLook w:firstColumn="1" w:firstRow="1" w:lastColumn="0" w:lastRow="0" w:noHBand="0" w:noVBand="1" w:val="04A0"/>
        <w:tblInd w:w="900.0" w:type="dxa"/>
      </w:tblPr>
      <w:tblGrid>
        <w:gridCol w:w="4680"/>
        <w:gridCol w:w="4680"/>
      </w:tblGrid>
      <w:tr>
        <w:trPr>
          <w:trHeight w:hRule="exact" w:val="1518"/>
        </w:trPr>
        <w:tc>
          <w:tcPr>
            <w:tcW w:type="dxa" w:w="1140"/>
            <w:tcBorders/>
            <w:shd w:fill="ffffff"/>
            <w:tcMar>
              <w:start w:w="0" w:type="dxa"/>
              <w:end w:w="0" w:type="dxa"/>
            </w:tcMar>
          </w:tcPr>
          <w:p>
            <w:pPr>
              <w:autoSpaceDN w:val="0"/>
              <w:autoSpaceDE w:val="0"/>
              <w:widowControl/>
              <w:spacing w:line="245" w:lineRule="auto" w:before="6" w:after="0"/>
              <w:ind w:left="900" w:right="114" w:firstLine="0"/>
              <w:jc w:val="both"/>
            </w:pP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p>
        </w:tc>
        <w:tc>
          <w:tcPr>
            <w:tcW w:type="dxa" w:w="9180"/>
            <w:tcBorders/>
            <w:shd w:fill="ffffff"/>
            <w:tcMar>
              <w:start w:w="0" w:type="dxa"/>
              <w:end w:w="0" w:type="dxa"/>
            </w:tcMar>
          </w:tcPr>
          <w:p>
            <w:pPr>
              <w:autoSpaceDN w:val="0"/>
              <w:autoSpaceDE w:val="0"/>
              <w:widowControl/>
              <w:spacing w:line="245" w:lineRule="auto" w:before="38" w:after="0"/>
              <w:ind w:left="120" w:right="1008" w:firstLine="0"/>
              <w:jc w:val="left"/>
            </w:pPr>
            <w:r>
              <w:rPr>
                <w:rFonts w:ascii="" w:hAnsi="" w:eastAsia=""/>
                <w:b w:val="0"/>
                <w:i w:val="0"/>
                <w:color w:val="000000"/>
                <w:sz w:val="20"/>
              </w:rPr>
              <w:t xml:space="preserve">Publicly traded Stocks / Bonds / Mutual Funds – 70% may be used for reserves </w:t>
            </w:r>
            <w:r>
              <w:br/>
            </w:r>
            <w:r>
              <w:rPr>
                <w:rFonts w:ascii="" w:hAnsi="" w:eastAsia=""/>
                <w:b w:val="0"/>
                <w:i w:val="0"/>
                <w:color w:val="000000"/>
                <w:sz w:val="20"/>
              </w:rPr>
              <w:t xml:space="preserve">Vested Retirement Accounts – 60% may be considered for reserves </w:t>
            </w:r>
            <w:r>
              <w:br/>
            </w:r>
            <w:r>
              <w:rPr>
                <w:rFonts w:ascii="" w:hAnsi="" w:eastAsia=""/>
                <w:b w:val="0"/>
                <w:i w:val="0"/>
                <w:color w:val="000000"/>
                <w:sz w:val="20"/>
              </w:rPr>
              <w:t xml:space="preserve">Assets being used for dividend and interest income may not be used to meet reserve requirements </w:t>
            </w:r>
            <w:r>
              <w:rPr>
                <w:rFonts w:ascii="" w:hAnsi="" w:eastAsia=""/>
                <w:b w:val="0"/>
                <w:i w:val="0"/>
                <w:color w:val="000000"/>
                <w:sz w:val="20"/>
              </w:rPr>
              <w:t xml:space="preserve">If needed to close, verification that funds have been liquidated (if applicable) is required </w:t>
            </w:r>
            <w:r>
              <w:br/>
            </w:r>
            <w:r>
              <w:rPr>
                <w:rFonts w:ascii="" w:hAnsi="" w:eastAsia=""/>
                <w:b w:val="0"/>
                <w:i w:val="0"/>
                <w:color w:val="000000"/>
                <w:sz w:val="20"/>
              </w:rPr>
              <w:t xml:space="preserve">Gift of Equity is not allowed </w:t>
            </w:r>
            <w:r>
              <w:br/>
            </w:r>
            <w:r>
              <w:rPr>
                <w:rFonts w:ascii="" w:hAnsi="" w:eastAsia=""/>
                <w:b w:val="0"/>
                <w:i w:val="0"/>
                <w:color w:val="000000"/>
                <w:sz w:val="20"/>
              </w:rPr>
              <w:t xml:space="preserve">Builder profits are not allowed </w:t>
            </w:r>
          </w:p>
        </w:tc>
      </w:tr>
    </w:tbl>
    <w:p>
      <w:pPr>
        <w:autoSpaceDN w:val="0"/>
        <w:autoSpaceDE w:val="0"/>
        <w:widowControl/>
        <w:spacing w:line="218" w:lineRule="auto" w:before="568" w:after="0"/>
        <w:ind w:left="0" w:right="0" w:firstLine="0"/>
        <w:jc w:val="center"/>
      </w:pPr>
      <w:r>
        <w:rPr>
          <w:rFonts w:ascii="" w:hAnsi="" w:eastAsia=""/>
          <w:b w:val="0"/>
          <w:i w:val="0"/>
          <w:color w:val="4F81BD"/>
          <w:sz w:val="22"/>
        </w:rPr>
        <w:t xml:space="preserve">9 </w:t>
      </w:r>
    </w:p>
    <w:p>
      <w:pPr>
        <w:sectPr>
          <w:pgSz w:w="12240" w:h="15840"/>
          <w:pgMar w:top="0" w:right="0" w:bottom="0" w:left="0" w:header="720" w:footer="720" w:gutter="0"/>
          <w:cols/>
          <w:docGrid w:linePitch="360"/>
        </w:sectPr>
      </w:pPr>
    </w:p>
    <w:p>
      <w:pPr>
        <w:autoSpaceDN w:val="0"/>
        <w:autoSpaceDE w:val="0"/>
        <w:widowControl/>
        <w:spacing w:line="1394" w:lineRule="exact" w:before="0" w:after="0"/>
        <w:ind w:left="0" w:right="0"/>
      </w:pPr>
    </w:p>
    <w:tbl>
      <w:tblPr>
        <w:tblW w:type="auto" w:w="0"/>
        <w:tblLayout w:type="fixed"/>
        <w:tblLook w:firstColumn="1" w:firstRow="1" w:lastColumn="0" w:lastRow="0" w:noHBand="0" w:noVBand="1" w:val="04A0"/>
        <w:tblInd w:w="900.0" w:type="dxa"/>
      </w:tblPr>
      <w:tblGrid>
        <w:gridCol w:w="4680"/>
        <w:gridCol w:w="4680"/>
      </w:tblGrid>
      <w:tr>
        <w:trPr>
          <w:trHeight w:hRule="exact" w:val="838"/>
        </w:trPr>
        <w:tc>
          <w:tcPr>
            <w:tcW w:type="dxa" w:w="1140"/>
            <w:tcBorders/>
            <w:shd w:fill="ffffff"/>
            <w:tcMar>
              <w:start w:w="0" w:type="dxa"/>
              <w:end w:w="0" w:type="dxa"/>
            </w:tcMar>
          </w:tcPr>
          <w:p>
            <w:pPr>
              <w:autoSpaceDN w:val="0"/>
              <w:autoSpaceDE w:val="0"/>
              <w:widowControl/>
              <w:spacing w:line="245" w:lineRule="auto" w:before="60" w:after="0"/>
              <w:ind w:left="900" w:right="114" w:firstLine="0"/>
              <w:jc w:val="both"/>
            </w:pP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p>
        </w:tc>
        <w:tc>
          <w:tcPr>
            <w:tcW w:type="dxa" w:w="7640"/>
            <w:tcBorders/>
            <w:shd w:fill="ffffff"/>
            <w:tcMar>
              <w:start w:w="0" w:type="dxa"/>
              <w:end w:w="0" w:type="dxa"/>
            </w:tcMar>
          </w:tcPr>
          <w:p>
            <w:pPr>
              <w:autoSpaceDN w:val="0"/>
              <w:autoSpaceDE w:val="0"/>
              <w:widowControl/>
              <w:spacing w:line="245" w:lineRule="auto" w:before="90" w:after="0"/>
              <w:ind w:left="120" w:right="2448" w:firstLine="0"/>
              <w:jc w:val="left"/>
            </w:pPr>
            <w:r>
              <w:rPr>
                <w:rFonts w:ascii="" w:hAnsi="" w:eastAsia=""/>
                <w:b w:val="0"/>
                <w:i w:val="0"/>
                <w:color w:val="000000"/>
                <w:sz w:val="20"/>
              </w:rPr>
              <w:t xml:space="preserve">Maximum Interested Party Contributions permitted up to 6% </w:t>
            </w:r>
            <w:r>
              <w:rPr>
                <w:rFonts w:ascii="" w:hAnsi="" w:eastAsia=""/>
                <w:b w:val="0"/>
                <w:i w:val="0"/>
                <w:color w:val="000000"/>
                <w:sz w:val="20"/>
              </w:rPr>
              <w:t xml:space="preserve">Rent credits not permitted </w:t>
            </w:r>
            <w:r>
              <w:br/>
            </w:r>
            <w:r>
              <w:rPr>
                <w:rFonts w:ascii="" w:hAnsi="" w:eastAsia=""/>
                <w:b w:val="0"/>
                <w:i w:val="0"/>
                <w:color w:val="000000"/>
                <w:sz w:val="20"/>
              </w:rPr>
              <w:t xml:space="preserve">LOE required for large deposits, as defined by Fannie Mae </w:t>
            </w:r>
          </w:p>
        </w:tc>
      </w:tr>
    </w:tbl>
    <w:p>
      <w:pPr>
        <w:autoSpaceDN w:val="0"/>
        <w:autoSpaceDE w:val="0"/>
        <w:widowControl/>
        <w:spacing w:line="197" w:lineRule="auto" w:before="236" w:after="6"/>
        <w:ind w:left="1590" w:right="0" w:firstLine="0"/>
        <w:jc w:val="left"/>
      </w:pPr>
      <w:r>
        <w:rPr>
          <w:rFonts w:ascii="" w:hAnsi="" w:eastAsia=""/>
          <w:b/>
          <w:i w:val="0"/>
          <w:color w:val="000000"/>
          <w:sz w:val="23"/>
        </w:rPr>
        <w:t xml:space="preserve">8.2 Gift Funds </w:t>
      </w:r>
    </w:p>
    <w:tbl>
      <w:tblPr>
        <w:tblW w:type="auto" w:w="0"/>
        <w:tblLayout w:type="fixed"/>
        <w:tblLook w:firstColumn="1" w:firstRow="1" w:lastColumn="0" w:lastRow="0" w:noHBand="0" w:noVBand="1" w:val="04A0"/>
        <w:tblInd w:w="900.0" w:type="dxa"/>
      </w:tblPr>
      <w:tblGrid>
        <w:gridCol w:w="3120"/>
        <w:gridCol w:w="3120"/>
        <w:gridCol w:w="3120"/>
      </w:tblGrid>
      <w:tr>
        <w:trPr>
          <w:trHeight w:hRule="exact" w:val="976"/>
        </w:trPr>
        <w:tc>
          <w:tcPr>
            <w:tcW w:type="dxa" w:w="1140"/>
            <w:vMerge w:val="restart"/>
            <w:tcBorders/>
            <w:shd w:fill="ffffff"/>
            <w:tcMar>
              <w:start w:w="0" w:type="dxa"/>
              <w:end w:w="0" w:type="dxa"/>
            </w:tcMar>
            <w:tcMar>
              <w:start w:w="0" w:type="dxa"/>
              <w:end w:w="0" w:type="dxa"/>
            </w:tcMar>
            <w:tcMar>
              <w:start w:w="0" w:type="dxa"/>
              <w:end w:w="0" w:type="dxa"/>
            </w:tcMar>
          </w:tcPr>
          <w:p>
            <w:pPr>
              <w:autoSpaceDN w:val="0"/>
              <w:autoSpaceDE w:val="0"/>
              <w:widowControl/>
              <w:spacing w:line="245" w:lineRule="auto" w:before="6" w:after="0"/>
              <w:ind w:left="900" w:right="114" w:firstLine="0"/>
              <w:jc w:val="both"/>
            </w:pP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p>
        </w:tc>
        <w:tc>
          <w:tcPr>
            <w:tcW w:type="dxa" w:w="9160"/>
            <w:gridSpan w:val="2"/>
            <w:tcBorders/>
            <w:shd w:fill="ffffff"/>
            <w:tcMar>
              <w:start w:w="0" w:type="dxa"/>
              <w:end w:w="0" w:type="dxa"/>
            </w:tcMar>
            <w:tcMar>
              <w:start w:w="0" w:type="dxa"/>
              <w:end w:w="0" w:type="dxa"/>
            </w:tcMar>
          </w:tcPr>
          <w:p>
            <w:pPr>
              <w:autoSpaceDN w:val="0"/>
              <w:autoSpaceDE w:val="0"/>
              <w:widowControl/>
              <w:spacing w:line="245" w:lineRule="auto" w:before="38" w:after="0"/>
              <w:ind w:left="120" w:right="4032" w:firstLine="0"/>
              <w:jc w:val="left"/>
            </w:pPr>
            <w:r>
              <w:rPr>
                <w:rFonts w:ascii="" w:hAnsi="" w:eastAsia=""/>
                <w:b w:val="0"/>
                <w:i w:val="0"/>
                <w:color w:val="000000"/>
                <w:sz w:val="20"/>
              </w:rPr>
              <w:t xml:space="preserve">Gifts from family members, as defined by FNMA, are allowed </w:t>
            </w:r>
            <w:r>
              <w:rPr>
                <w:rFonts w:ascii="" w:hAnsi="" w:eastAsia=""/>
                <w:b w:val="0"/>
                <w:i w:val="0"/>
                <w:color w:val="000000"/>
                <w:sz w:val="20"/>
              </w:rPr>
              <w:t xml:space="preserve">Gift funds cannot be counted towards reserves </w:t>
            </w:r>
            <w:r>
              <w:br/>
            </w:r>
            <w:r>
              <w:rPr>
                <w:rFonts w:ascii="" w:hAnsi="" w:eastAsia=""/>
                <w:b w:val="0"/>
                <w:i w:val="0"/>
                <w:color w:val="000000"/>
                <w:sz w:val="20"/>
              </w:rPr>
              <w:t xml:space="preserve">Purchase transactions only </w:t>
            </w:r>
            <w:r>
              <w:br/>
            </w:r>
            <w:r>
              <w:rPr>
                <w:rFonts w:ascii="" w:hAnsi="" w:eastAsia=""/>
                <w:b w:val="0"/>
                <w:i w:val="0"/>
                <w:color w:val="000000"/>
                <w:sz w:val="20"/>
              </w:rPr>
              <w:t xml:space="preserve">Down Payment Requirements: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6"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800"/>
            <w:tcBorders/>
            <w:shd w:fill="ffffff"/>
            <w:tcMar>
              <w:start w:w="0" w:type="dxa"/>
              <w:end w:w="0" w:type="dxa"/>
            </w:tcMar>
          </w:tcPr>
          <w:p>
            <w:pPr>
              <w:autoSpaceDN w:val="0"/>
              <w:autoSpaceDE w:val="0"/>
              <w:widowControl/>
              <w:spacing w:line="197" w:lineRule="auto" w:before="38" w:after="0"/>
              <w:ind w:left="120" w:right="0" w:firstLine="0"/>
              <w:jc w:val="left"/>
            </w:pPr>
            <w:r>
              <w:rPr>
                <w:rFonts w:ascii="" w:hAnsi="" w:eastAsia=""/>
                <w:b w:val="0"/>
                <w:i w:val="0"/>
                <w:color w:val="000000"/>
                <w:sz w:val="20"/>
              </w:rPr>
              <w:t xml:space="preserve">Gift funds are acceptable as 100% down payment for loans &lt;75% LTV/CLTV </w:t>
            </w:r>
          </w:p>
        </w:tc>
      </w:tr>
      <w:tr>
        <w:trPr>
          <w:trHeight w:hRule="exact" w:val="264"/>
        </w:trPr>
        <w:tc>
          <w:tcPr>
            <w:tcW w:type="dxa" w:w="3120"/>
            <w:vMerge/>
            <w:tcBorders/>
          </w:tcPr>
          <w:p/>
        </w:tc>
        <w:tc>
          <w:tcPr>
            <w:tcW w:type="dxa" w:w="360"/>
            <w:tcBorders/>
            <w:shd w:fill="ffffff"/>
            <w:tcMar>
              <w:start w:w="0" w:type="dxa"/>
              <w:end w:w="0" w:type="dxa"/>
            </w:tcMar>
          </w:tcPr>
          <w:p>
            <w:pPr>
              <w:autoSpaceDN w:val="0"/>
              <w:autoSpaceDE w:val="0"/>
              <w:widowControl/>
              <w:spacing w:line="226" w:lineRule="auto" w:before="12"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800"/>
            <w:tcBorders/>
            <w:shd w:fill="ffffff"/>
            <w:tcMar>
              <w:start w:w="0" w:type="dxa"/>
              <w:end w:w="0" w:type="dxa"/>
            </w:tcMar>
          </w:tcPr>
          <w:p>
            <w:pPr>
              <w:autoSpaceDN w:val="0"/>
              <w:autoSpaceDE w:val="0"/>
              <w:widowControl/>
              <w:spacing w:line="197" w:lineRule="auto" w:before="42" w:after="0"/>
              <w:ind w:left="120" w:right="0" w:firstLine="0"/>
              <w:jc w:val="left"/>
            </w:pPr>
            <w:r>
              <w:rPr>
                <w:rFonts w:ascii="" w:hAnsi="" w:eastAsia=""/>
                <w:b w:val="0"/>
                <w:i w:val="0"/>
                <w:color w:val="000000"/>
                <w:sz w:val="20"/>
              </w:rPr>
              <w:t xml:space="preserve">Gift funds are acceptable for loans &gt;=75% LTV/CLTV however the underlying Borrower(s) must </w:t>
            </w:r>
          </w:p>
        </w:tc>
      </w:tr>
    </w:tbl>
    <w:p>
      <w:pPr>
        <w:autoSpaceDN w:val="0"/>
        <w:autoSpaceDE w:val="0"/>
        <w:widowControl/>
        <w:spacing w:line="197" w:lineRule="auto" w:before="22" w:after="0"/>
        <w:ind w:left="2520" w:right="0" w:firstLine="0"/>
        <w:jc w:val="left"/>
      </w:pPr>
      <w:r>
        <w:rPr>
          <w:rFonts w:ascii="" w:hAnsi="" w:eastAsia=""/>
          <w:b w:val="0"/>
          <w:i w:val="0"/>
          <w:color w:val="000000"/>
          <w:sz w:val="20"/>
        </w:rPr>
        <w:t xml:space="preserve">contribute at least 5% of the transaction (lower of Purchase Price or appraised Value) from their </w:t>
      </w:r>
    </w:p>
    <w:p>
      <w:pPr>
        <w:autoSpaceDN w:val="0"/>
        <w:autoSpaceDE w:val="0"/>
        <w:widowControl/>
        <w:spacing w:line="197" w:lineRule="auto" w:before="44" w:after="0"/>
        <w:ind w:left="2520" w:right="0" w:firstLine="0"/>
        <w:jc w:val="left"/>
      </w:pPr>
      <w:r>
        <w:rPr>
          <w:rFonts w:ascii="" w:hAnsi="" w:eastAsia=""/>
          <w:b w:val="0"/>
          <w:i w:val="0"/>
          <w:color w:val="000000"/>
          <w:sz w:val="20"/>
        </w:rPr>
        <w:t xml:space="preserve">own funds </w:t>
      </w:r>
    </w:p>
    <w:p>
      <w:pPr>
        <w:autoSpaceDN w:val="0"/>
        <w:autoSpaceDE w:val="0"/>
        <w:widowControl/>
        <w:spacing w:line="197" w:lineRule="auto" w:before="296" w:after="0"/>
        <w:ind w:left="1590" w:right="0" w:firstLine="0"/>
        <w:jc w:val="left"/>
      </w:pPr>
      <w:r>
        <w:rPr>
          <w:rFonts w:ascii="" w:hAnsi="" w:eastAsia=""/>
          <w:b/>
          <w:i w:val="0"/>
          <w:color w:val="000000"/>
          <w:sz w:val="23"/>
        </w:rPr>
        <w:t xml:space="preserve">8.3 Other Asset Sources </w:t>
      </w:r>
    </w:p>
    <w:p>
      <w:pPr>
        <w:autoSpaceDN w:val="0"/>
        <w:autoSpaceDE w:val="0"/>
        <w:widowControl/>
        <w:spacing w:line="197" w:lineRule="auto" w:before="50" w:after="0"/>
        <w:ind w:left="1590" w:right="0" w:firstLine="0"/>
        <w:jc w:val="left"/>
      </w:pPr>
      <w:r>
        <w:rPr>
          <w:rFonts w:ascii="" w:hAnsi="" w:eastAsia=""/>
          <w:b/>
          <w:i w:val="0"/>
          <w:color w:val="000000"/>
          <w:sz w:val="23"/>
        </w:rPr>
        <w:t xml:space="preserve">8.3.1 Foreign Assets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Foreign assets are acceptable for foreign applicants only and must be sixty (60) days seasoned with two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(2) most recent bank statements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Assets from countries under OFAC sanctions are not permitted </w:t>
      </w:r>
    </w:p>
    <w:p>
      <w:pPr>
        <w:autoSpaceDN w:val="0"/>
        <w:autoSpaceDE w:val="0"/>
        <w:widowControl/>
        <w:spacing w:line="197" w:lineRule="auto" w:before="52" w:after="0"/>
        <w:ind w:left="1590" w:right="0" w:firstLine="0"/>
        <w:jc w:val="left"/>
      </w:pPr>
      <w:r>
        <w:rPr>
          <w:rFonts w:ascii="" w:hAnsi="" w:eastAsia=""/>
          <w:b/>
          <w:i w:val="0"/>
          <w:color w:val="000000"/>
          <w:sz w:val="23"/>
        </w:rPr>
        <w:t xml:space="preserve">8.3.2 Joint accounts / access letters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Allowable with relationship letter. Joint account holder authorization letter is required </w:t>
      </w:r>
    </w:p>
    <w:p>
      <w:pPr>
        <w:autoSpaceDN w:val="0"/>
        <w:autoSpaceDE w:val="0"/>
        <w:widowControl/>
        <w:spacing w:line="197" w:lineRule="auto" w:before="50" w:after="0"/>
        <w:ind w:left="1590" w:right="0" w:firstLine="0"/>
        <w:jc w:val="left"/>
      </w:pPr>
      <w:r>
        <w:rPr>
          <w:rFonts w:ascii="" w:hAnsi="" w:eastAsia=""/>
          <w:b/>
          <w:i w:val="0"/>
          <w:color w:val="000000"/>
          <w:sz w:val="23"/>
        </w:rPr>
        <w:t xml:space="preserve">8.3.3 Restricted Stock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Restricted stock is ineligible for to be used for reserves </w:t>
      </w:r>
    </w:p>
    <w:p>
      <w:pPr>
        <w:autoSpaceDN w:val="0"/>
        <w:autoSpaceDE w:val="0"/>
        <w:widowControl/>
        <w:spacing w:line="197" w:lineRule="auto" w:before="52" w:after="0"/>
        <w:ind w:left="1590" w:right="0" w:firstLine="0"/>
        <w:jc w:val="left"/>
      </w:pPr>
      <w:r>
        <w:rPr>
          <w:rFonts w:ascii="" w:hAnsi="" w:eastAsia=""/>
          <w:b/>
          <w:i w:val="0"/>
          <w:color w:val="000000"/>
          <w:sz w:val="23"/>
        </w:rPr>
        <w:t xml:space="preserve">8.3.4 1031 Assets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Funds held by a 1031 administrator / agent are permitted for down payment and closing costs </w:t>
      </w:r>
    </w:p>
    <w:p>
      <w:pPr>
        <w:autoSpaceDN w:val="0"/>
        <w:autoSpaceDE w:val="0"/>
        <w:widowControl/>
        <w:spacing w:line="197" w:lineRule="auto" w:before="354" w:after="0"/>
        <w:ind w:left="1590" w:right="0" w:firstLine="0"/>
        <w:jc w:val="left"/>
      </w:pPr>
      <w:r>
        <w:rPr>
          <w:rFonts w:ascii="" w:hAnsi="" w:eastAsia=""/>
          <w:b/>
          <w:i w:val="0"/>
          <w:color w:val="548DD4"/>
          <w:sz w:val="32"/>
        </w:rPr>
        <w:t>9. Property</w:t>
      </w:r>
    </w:p>
    <w:p>
      <w:pPr>
        <w:autoSpaceDN w:val="0"/>
        <w:autoSpaceDE w:val="0"/>
        <w:widowControl/>
        <w:spacing w:line="197" w:lineRule="auto" w:before="294" w:after="0"/>
        <w:ind w:left="1590" w:right="0" w:firstLine="0"/>
        <w:jc w:val="left"/>
      </w:pPr>
      <w:r>
        <w:rPr>
          <w:rFonts w:ascii="" w:hAnsi="" w:eastAsia=""/>
          <w:b/>
          <w:i w:val="0"/>
          <w:color w:val="000000"/>
          <w:sz w:val="23"/>
        </w:rPr>
        <w:t xml:space="preserve">9.1 Appraisal </w:t>
      </w:r>
    </w:p>
    <w:p>
      <w:pPr>
        <w:autoSpaceDN w:val="0"/>
        <w:tabs>
          <w:tab w:pos="2160" w:val="left"/>
        </w:tabs>
        <w:autoSpaceDE w:val="0"/>
        <w:widowControl/>
        <w:spacing w:line="228"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All appraisals must comply with and conform to USPAP and the Appraisal Independence Requirements,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and any requirement for HPMLs, if applicable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The appraiser must not have a direct or indirect interest, financial or otherwise, in the property or in the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transaction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 xml:space="preserve">▪​Alpha Everest Capital maintains an ineligible appraiser and borrower list; any loan involving a listed appraiser or </w:t>
      </w:r>
      <w:r>
        <w:tab/>
      </w:r>
      <w:r>
        <w:rPr>
          <w:rFonts w:ascii="" w:hAnsi="" w:eastAsia=""/>
          <w:b w:val="0"/>
          <w:i w:val="0"/>
          <w:color w:val="000000"/>
          <w:sz w:val="20"/>
        </w:rPr>
        <w:t xml:space="preserve"/>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borrower is an automatic kick.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Two appraisals are required for loan amounts &gt; $2,000,000. Interior photos are required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Appraisals are good for one hundred twenty (120) days. Any appraisal seasoned greater than one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hundred twenty (120) days will require a recertification of value completed by the original licensed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appraiser. A recertification of value will be permitted up to one hundred twenty (120) days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Form 1007 Schedule of Rents is required for all Non-Owner-Occupied loans on Single Family residences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For 2–4 units properties, a FNMA 1025 Small Residential Income Property Appraisal Report is required </w:t>
      </w:r>
    </w:p>
    <w:p>
      <w:pPr>
        <w:autoSpaceDN w:val="0"/>
        <w:autoSpaceDE w:val="0"/>
        <w:widowControl/>
        <w:spacing w:line="197" w:lineRule="auto" w:before="296" w:after="0"/>
        <w:ind w:left="1590" w:right="0" w:firstLine="0"/>
        <w:jc w:val="left"/>
      </w:pPr>
      <w:r>
        <w:rPr>
          <w:rFonts w:ascii="" w:hAnsi="" w:eastAsia=""/>
          <w:b/>
          <w:i w:val="0"/>
          <w:color w:val="000000"/>
          <w:sz w:val="23"/>
        </w:rPr>
        <w:t xml:space="preserve">9.2 FEMA Disaster Area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 xml:space="preserve">▪​Alpha Everest Capital will be identifying areas impacted by disasters and ensuring that that subject property has </w:t>
      </w:r>
      <w:r>
        <w:tab/>
      </w:r>
      <w:r>
        <w:rPr>
          <w:rFonts w:ascii="" w:hAnsi="" w:eastAsia=""/>
          <w:b w:val="0"/>
          <w:i w:val="0"/>
          <w:color w:val="000000"/>
          <w:sz w:val="20"/>
        </w:rPr>
        <w:t xml:space="preserve"/>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not been adversely impacted </w:t>
      </w:r>
    </w:p>
    <w:p>
      <w:pPr>
        <w:autoSpaceDN w:val="0"/>
        <w:tabs>
          <w:tab w:pos="2160" w:val="left"/>
        </w:tabs>
        <w:autoSpaceDE w:val="0"/>
        <w:widowControl/>
        <w:spacing w:line="228" w:lineRule="auto" w:before="12"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A list of federally declared disaster areas may be found on the FEMA website at </w:t>
      </w:r>
    </w:p>
    <w:p>
      <w:pPr>
        <w:autoSpaceDN w:val="0"/>
        <w:autoSpaceDE w:val="0"/>
        <w:widowControl/>
        <w:spacing w:line="197" w:lineRule="auto" w:before="44" w:after="0"/>
        <w:ind w:left="2160" w:right="0" w:firstLine="0"/>
        <w:jc w:val="left"/>
      </w:pPr>
      <w:r>
        <w:rPr>
          <w:rFonts w:ascii="" w:hAnsi="" w:eastAsia=""/>
          <w:b w:val="0"/>
          <w:i w:val="0"/>
          <w:color w:val="000000"/>
          <w:sz w:val="20"/>
          <w:u w:val="single"/>
        </w:rPr>
        <w:hyperlink r:id="rId10" w:history="1">
          <w:r>
            <w:rPr>
              <w:rStyle w:val="Hyperlink"/>
            </w:rPr>
            <w:t>http://www.fema.gov.disasters</w:t>
          </w:r>
        </w:hyperlink>
      </w:r>
      <w:r>
        <w:rPr>
          <w:rFonts w:ascii="" w:hAnsi="" w:eastAsia=""/>
          <w:b w:val="0"/>
          <w:i w:val="0"/>
          <w:color w:val="000000"/>
          <w:sz w:val="20"/>
        </w:rPr>
        <w:hyperlink r:id="rId10" w:history="1">
          <w:r>
            <w:rPr>
              <w:rStyle w:val="Hyperlink"/>
            </w:rPr>
            <w:t>.</w:t>
          </w:r>
        </w:hyperlink>
      </w:r>
      <w:r>
        <w:rPr>
          <w:rFonts w:ascii="" w:hAnsi="" w:eastAsia=""/>
          <w:b w:val="0"/>
          <w:i w:val="0"/>
          <w:color w:val="000000"/>
          <w:sz w:val="20"/>
        </w:rPr>
        <w:t xml:space="preserve">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In addition, when there is knowledge of an adverse event occurring near or around the subject property,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including but not limited to earthquakes, floods, tornadoes, or wildfires, additional due diligence is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required to determine when the disaster area guidelines must be followed </w:t>
      </w:r>
    </w:p>
    <w:p>
      <w:pPr>
        <w:autoSpaceDN w:val="0"/>
        <w:tabs>
          <w:tab w:pos="2160" w:val="left"/>
        </w:tabs>
        <w:autoSpaceDE w:val="0"/>
        <w:widowControl/>
        <w:spacing w:line="226" w:lineRule="auto" w:before="14" w:after="0"/>
        <w:ind w:left="1800" w:right="0" w:firstLine="0"/>
        <w:jc w:val="left"/>
      </w:pPr>
      <w:r>
        <w:rPr>
          <w:rFonts w:ascii="" w:hAnsi="" w:eastAsia=""/>
          <w:b w:val="0"/>
          <w:i w:val="0"/>
          <w:color w:val="000000"/>
          <w:sz w:val="20"/>
        </w:rPr>
        <w:t>▪​</w:t>
      </w:r>
      <w:r>
        <w:tab/>
      </w:r>
      <w:r>
        <w:rPr>
          <w:rFonts w:ascii="" w:hAnsi="" w:eastAsia=""/>
          <w:b w:val="0"/>
          <w:i w:val="0"/>
          <w:color w:val="000000"/>
          <w:sz w:val="20"/>
        </w:rPr>
        <w:t xml:space="preserve">Guidelines for disaster areas should be followed one hundred and twenty (120) days from the incident </w:t>
      </w:r>
    </w:p>
    <w:p>
      <w:pPr>
        <w:autoSpaceDN w:val="0"/>
        <w:autoSpaceDE w:val="0"/>
        <w:widowControl/>
        <w:spacing w:line="218" w:lineRule="auto" w:before="592" w:after="0"/>
        <w:ind w:left="0" w:right="0" w:firstLine="0"/>
        <w:jc w:val="center"/>
      </w:pPr>
      <w:r>
        <w:rPr>
          <w:rFonts w:ascii="" w:hAnsi="" w:eastAsia=""/>
          <w:b w:val="0"/>
          <w:i w:val="0"/>
          <w:color w:val="4F81BD"/>
          <w:sz w:val="22"/>
        </w:rPr>
        <w:t xml:space="preserve">10 </w:t>
      </w:r>
    </w:p>
    <w:p>
      <w:pPr>
        <w:sectPr>
          <w:pgSz w:w="12240" w:h="15840"/>
          <w:pgMar w:top="0" w:right="0" w:bottom="0" w:left="0" w:header="720" w:footer="720" w:gutter="0"/>
          <w:cols/>
          <w:docGrid w:linePitch="360"/>
        </w:sectPr>
      </w:pPr>
    </w:p>
    <w:p>
      <w:pPr>
        <w:autoSpaceDN w:val="0"/>
        <w:tabs>
          <w:tab w:pos="2160" w:val="left"/>
        </w:tabs>
        <w:autoSpaceDE w:val="0"/>
        <w:widowControl/>
        <w:spacing w:line="245" w:lineRule="auto" w:before="1484" w:after="0"/>
        <w:ind w:left="1800" w:right="3456" w:firstLine="0"/>
        <w:jc w:val="left"/>
      </w:pPr>
      <w:r>
        <w:tab/>
      </w:r>
      <w:r>
        <w:rPr>
          <w:rFonts w:ascii="" w:hAnsi="" w:eastAsia=""/>
          <w:b w:val="0"/>
          <w:i w:val="0"/>
          <w:color w:val="000000"/>
          <w:sz w:val="20"/>
        </w:rPr>
        <w:t xml:space="preserve">period ending date or the date the adverse event occurred, whichever is greater </w:t>
      </w:r>
      <w:r>
        <w:rPr>
          <w:rFonts w:ascii="" w:hAnsi="" w:eastAsia=""/>
          <w:b w:val="0"/>
          <w:i w:val="0"/>
          <w:color w:val="000000"/>
          <w:sz w:val="20"/>
        </w:rPr>
        <w:t>▪​</w:t>
      </w:r>
      <w:r>
        <w:tab/>
      </w:r>
      <w:r>
        <w:rPr>
          <w:rFonts w:ascii="" w:hAnsi="" w:eastAsia=""/>
          <w:b w:val="0"/>
          <w:i w:val="0"/>
          <w:color w:val="000000"/>
          <w:sz w:val="20"/>
        </w:rPr>
        <w:t xml:space="preserve">Interior and exterior inspection of the subject property is required </w:t>
      </w:r>
    </w:p>
    <w:p>
      <w:pPr>
        <w:autoSpaceDN w:val="0"/>
        <w:tabs>
          <w:tab w:pos="1800" w:val="left"/>
          <w:tab w:pos="2160" w:val="left"/>
        </w:tabs>
        <w:autoSpaceDE w:val="0"/>
        <w:widowControl/>
        <w:spacing w:line="245" w:lineRule="auto" w:before="52" w:after="0"/>
        <w:ind w:left="1590" w:right="1584" w:firstLine="0"/>
        <w:jc w:val="left"/>
      </w:pPr>
      <w:r>
        <w:rPr>
          <w:rFonts w:ascii="" w:hAnsi="" w:eastAsia=""/>
          <w:b/>
          <w:i w:val="0"/>
          <w:color w:val="000000"/>
          <w:sz w:val="23"/>
        </w:rPr>
        <w:t xml:space="preserve">9.2.1 Appraisal Completed Prior to Disaster </w:t>
      </w:r>
      <w:r>
        <w:br/>
      </w:r>
      <w:r>
        <w:tab/>
      </w:r>
      <w:r>
        <w:rPr>
          <w:rFonts w:ascii="" w:hAnsi="" w:eastAsia=""/>
          <w:b w:val="0"/>
          <w:i w:val="0"/>
          <w:color w:val="000000"/>
          <w:sz w:val="20"/>
        </w:rPr>
        <w:t>▪​</w:t>
      </w:r>
      <w:r>
        <w:tab/>
      </w:r>
      <w:r>
        <w:rPr>
          <w:rFonts w:ascii="" w:hAnsi="" w:eastAsia=""/>
          <w:b w:val="0"/>
          <w:i w:val="0"/>
          <w:color w:val="000000"/>
          <w:sz w:val="20"/>
        </w:rPr>
        <w:t xml:space="preserve">Appraisal update or final inspection from the appraiser must be obtained </w:t>
      </w:r>
      <w:r>
        <w:br/>
      </w:r>
      <w:r>
        <w:tab/>
      </w:r>
      <w:r>
        <w:rPr>
          <w:rFonts w:ascii="" w:hAnsi="" w:eastAsia=""/>
          <w:b w:val="0"/>
          <w:i w:val="0"/>
          <w:color w:val="000000"/>
          <w:sz w:val="20"/>
        </w:rPr>
        <w:t>▪​</w:t>
      </w:r>
      <w:r>
        <w:tab/>
      </w:r>
      <w:r>
        <w:rPr>
          <w:rFonts w:ascii="" w:hAnsi="" w:eastAsia=""/>
          <w:b w:val="0"/>
          <w:i w:val="0"/>
          <w:color w:val="000000"/>
          <w:sz w:val="20"/>
        </w:rPr>
        <w:t xml:space="preserve">Damage that impacts the safety or habitability of the property or damage in excess of $2000 will not be </w:t>
      </w:r>
    </w:p>
    <w:p>
      <w:pPr>
        <w:autoSpaceDN w:val="0"/>
        <w:autoSpaceDE w:val="0"/>
        <w:widowControl/>
        <w:spacing w:line="197" w:lineRule="auto" w:before="44" w:after="0"/>
        <w:ind w:left="2160" w:right="0" w:firstLine="0"/>
        <w:jc w:val="left"/>
      </w:pPr>
      <w:r>
        <w:rPr>
          <w:rFonts w:ascii="" w:hAnsi="" w:eastAsia=""/>
          <w:b w:val="0"/>
          <w:i w:val="0"/>
          <w:color w:val="000000"/>
          <w:sz w:val="20"/>
        </w:rPr>
        <w:t xml:space="preserve">accepted </w:t>
      </w:r>
    </w:p>
    <w:p>
      <w:pPr>
        <w:autoSpaceDN w:val="0"/>
        <w:tabs>
          <w:tab w:pos="1800" w:val="left"/>
          <w:tab w:pos="2160" w:val="left"/>
        </w:tabs>
        <w:autoSpaceDE w:val="0"/>
        <w:widowControl/>
        <w:spacing w:line="245" w:lineRule="auto" w:before="50" w:after="0"/>
        <w:ind w:left="1590" w:right="1728" w:firstLine="0"/>
        <w:jc w:val="left"/>
      </w:pPr>
      <w:r>
        <w:rPr>
          <w:rFonts w:ascii="" w:hAnsi="" w:eastAsia=""/>
          <w:b/>
          <w:i/>
          <w:color w:val="000000"/>
          <w:sz w:val="23"/>
        </w:rPr>
        <w:t>9.2.2</w:t>
      </w:r>
      <w:r>
        <w:rPr>
          <w:rFonts w:ascii="" w:hAnsi="" w:eastAsia=""/>
          <w:b/>
          <w:i/>
          <w:color w:val="000000"/>
          <w:sz w:val="23"/>
        </w:rPr>
        <w:t xml:space="preserve">Disaster Incident Occurs After Closing, Prior to Funding </w:t>
      </w:r>
      <w:r>
        <w:br/>
      </w:r>
      <w:r>
        <w:tab/>
      </w:r>
      <w:r>
        <w:rPr>
          <w:rFonts w:ascii="" w:hAnsi="" w:eastAsia=""/>
          <w:b w:val="0"/>
          <w:i w:val="0"/>
          <w:color w:val="000000"/>
          <w:sz w:val="20"/>
        </w:rPr>
        <w:t>▪​</w:t>
      </w:r>
      <w:r>
        <w:tab/>
      </w:r>
      <w:r>
        <w:rPr>
          <w:rFonts w:ascii="" w:hAnsi="" w:eastAsia=""/>
          <w:b w:val="0"/>
          <w:i w:val="0"/>
          <w:color w:val="000000"/>
          <w:sz w:val="20"/>
        </w:rPr>
        <w:t xml:space="preserve">A Post Disaster Inspection (PDI) Report from Clear Capital will need to be provided at seller/originator </w:t>
      </w:r>
    </w:p>
    <w:p>
      <w:pPr>
        <w:autoSpaceDN w:val="0"/>
        <w:tabs>
          <w:tab w:pos="2160" w:val="left"/>
        </w:tabs>
        <w:autoSpaceDE w:val="0"/>
        <w:widowControl/>
        <w:spacing w:line="245" w:lineRule="auto" w:before="44" w:after="0"/>
        <w:ind w:left="1800" w:right="2448" w:firstLine="0"/>
        <w:jc w:val="left"/>
      </w:pPr>
      <w:r>
        <w:tab/>
      </w:r>
      <w:r>
        <w:rPr>
          <w:rFonts w:ascii="" w:hAnsi="" w:eastAsia=""/>
          <w:b w:val="0"/>
          <w:i w:val="0"/>
          <w:color w:val="000000"/>
          <w:sz w:val="20"/>
        </w:rPr>
        <w:t xml:space="preserve">expense </w:t>
      </w:r>
      <w:r>
        <w:br/>
      </w:r>
      <w:r>
        <w:rPr>
          <w:rFonts w:ascii="" w:hAnsi="" w:eastAsia=""/>
          <w:b w:val="0"/>
          <w:i w:val="0"/>
          <w:color w:val="000000"/>
          <w:sz w:val="20"/>
        </w:rPr>
        <w:t>▪​</w:t>
      </w:r>
      <w:r>
        <w:tab/>
      </w:r>
      <w:r>
        <w:rPr>
          <w:rFonts w:ascii="" w:hAnsi="" w:eastAsia=""/>
          <w:b w:val="0"/>
          <w:i w:val="0"/>
          <w:color w:val="000000"/>
          <w:sz w:val="20"/>
        </w:rPr>
        <w:t xml:space="preserve">Any indication of damage reflected on the report will require a re-inspection by the appraiser </w:t>
      </w:r>
    </w:p>
    <w:p>
      <w:pPr>
        <w:autoSpaceDN w:val="0"/>
        <w:autoSpaceDE w:val="0"/>
        <w:widowControl/>
        <w:spacing w:line="197" w:lineRule="auto" w:before="296" w:after="6"/>
        <w:ind w:left="1590" w:right="0" w:firstLine="0"/>
        <w:jc w:val="left"/>
      </w:pPr>
      <w:r>
        <w:rPr>
          <w:rFonts w:ascii="" w:hAnsi="" w:eastAsia=""/>
          <w:b/>
          <w:i w:val="0"/>
          <w:color w:val="000000"/>
          <w:sz w:val="23"/>
        </w:rPr>
        <w:t xml:space="preserve">9.3 Eligible Property Types </w:t>
      </w:r>
    </w:p>
    <w:tbl>
      <w:tblPr>
        <w:tblW w:type="auto" w:w="0"/>
        <w:tblLayout w:type="fixed"/>
        <w:tblLook w:firstColumn="1" w:firstRow="1" w:lastColumn="0" w:lastRow="0" w:noHBand="0" w:noVBand="1" w:val="04A0"/>
        <w:tblInd w:w="900.0" w:type="dxa"/>
      </w:tblPr>
      <w:tblGrid>
        <w:gridCol w:w="4680"/>
        <w:gridCol w:w="4680"/>
      </w:tblGrid>
      <w:tr>
        <w:trPr>
          <w:trHeight w:hRule="exact" w:val="1480"/>
        </w:trPr>
        <w:tc>
          <w:tcPr>
            <w:tcW w:type="dxa" w:w="1140"/>
            <w:tcBorders/>
            <w:shd w:fill="ffffff"/>
            <w:tcMar>
              <w:start w:w="0" w:type="dxa"/>
              <w:end w:w="0" w:type="dxa"/>
            </w:tcMar>
          </w:tcPr>
          <w:p>
            <w:pPr>
              <w:autoSpaceDN w:val="0"/>
              <w:autoSpaceDE w:val="0"/>
              <w:widowControl/>
              <w:spacing w:line="245" w:lineRule="auto" w:before="6" w:after="0"/>
              <w:ind w:left="900" w:right="114" w:firstLine="0"/>
              <w:jc w:val="both"/>
            </w:pP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p>
        </w:tc>
        <w:tc>
          <w:tcPr>
            <w:tcW w:type="dxa" w:w="9380"/>
            <w:tcBorders/>
            <w:shd w:fill="ffffff"/>
            <w:tcMar>
              <w:start w:w="0" w:type="dxa"/>
              <w:end w:w="0" w:type="dxa"/>
            </w:tcMar>
          </w:tcPr>
          <w:p>
            <w:pPr>
              <w:autoSpaceDN w:val="0"/>
              <w:autoSpaceDE w:val="0"/>
              <w:widowControl/>
              <w:spacing w:line="245" w:lineRule="auto" w:before="38" w:after="0"/>
              <w:ind w:left="120" w:right="720" w:firstLine="0"/>
              <w:jc w:val="left"/>
            </w:pPr>
            <w:r>
              <w:rPr>
                <w:rFonts w:ascii="" w:hAnsi="" w:eastAsia=""/>
                <w:b w:val="0"/>
                <w:i w:val="0"/>
                <w:color w:val="000000"/>
                <w:sz w:val="20"/>
              </w:rPr>
              <w:t xml:space="preserve">One Unit Single Family Residences (Attached, Detached and Modular) </w:t>
            </w:r>
            <w:r>
              <w:br/>
            </w:r>
            <w:r>
              <w:rPr>
                <w:rFonts w:ascii="" w:hAnsi="" w:eastAsia=""/>
                <w:b w:val="0"/>
                <w:i w:val="0"/>
                <w:color w:val="000000"/>
                <w:sz w:val="20"/>
              </w:rPr>
              <w:t xml:space="preserve">Single Family properties with ADU (Accessory Unit Dwelling) follow FNMA requirements and restrictions </w:t>
            </w:r>
            <w:r>
              <w:rPr>
                <w:rFonts w:ascii="" w:hAnsi="" w:eastAsia=""/>
                <w:b w:val="0"/>
                <w:i w:val="0"/>
                <w:color w:val="000000"/>
                <w:sz w:val="20"/>
              </w:rPr>
              <w:t xml:space="preserve">2-4 Unit Properties </w:t>
            </w:r>
            <w:r>
              <w:br/>
            </w:r>
            <w:r>
              <w:rPr>
                <w:rFonts w:ascii="" w:hAnsi="" w:eastAsia=""/>
                <w:b w:val="0"/>
                <w:i w:val="0"/>
                <w:color w:val="000000"/>
                <w:sz w:val="20"/>
              </w:rPr>
              <w:t xml:space="preserve">PUDs – Attached and Detached </w:t>
            </w:r>
            <w:r>
              <w:br/>
            </w:r>
            <w:r>
              <w:rPr>
                <w:rFonts w:ascii="" w:hAnsi="" w:eastAsia=""/>
                <w:b w:val="0"/>
                <w:i w:val="0"/>
                <w:color w:val="000000"/>
                <w:sz w:val="20"/>
              </w:rPr>
              <w:t xml:space="preserve">Townhouses </w:t>
            </w:r>
            <w:r>
              <w:br/>
            </w:r>
            <w:r>
              <w:rPr>
                <w:rFonts w:ascii="" w:hAnsi="" w:eastAsia=""/>
                <w:b w:val="0"/>
                <w:i w:val="0"/>
                <w:color w:val="000000"/>
                <w:sz w:val="20"/>
              </w:rPr>
              <w:t xml:space="preserve">Warrantable &amp; Non-Warrantable Condo (Subject to below project approval) </w:t>
            </w:r>
          </w:p>
        </w:tc>
      </w:tr>
    </w:tbl>
    <w:p>
      <w:pPr>
        <w:autoSpaceDN w:val="0"/>
        <w:autoSpaceDE w:val="0"/>
        <w:widowControl/>
        <w:spacing w:line="197" w:lineRule="auto" w:before="22" w:after="8"/>
        <w:ind w:left="1440" w:right="0" w:firstLine="0"/>
        <w:jc w:val="left"/>
      </w:pPr>
      <w:r>
        <w:rPr>
          <w:rFonts w:ascii="" w:hAnsi="" w:eastAsia=""/>
          <w:b/>
          <w:i w:val="0"/>
          <w:color w:val="000000"/>
          <w:sz w:val="20"/>
        </w:rPr>
        <w:t>Ineligible Property Types</w:t>
      </w:r>
    </w:p>
    <w:tbl>
      <w:tblPr>
        <w:tblW w:type="auto" w:w="0"/>
        <w:tblLayout w:type="fixed"/>
        <w:tblLook w:firstColumn="1" w:firstRow="1" w:lastColumn="0" w:lastRow="0" w:noHBand="0" w:noVBand="1" w:val="04A0"/>
        <w:tblInd w:w="900.0" w:type="dxa"/>
      </w:tblPr>
      <w:tblGrid>
        <w:gridCol w:w="4680"/>
        <w:gridCol w:w="4680"/>
      </w:tblGrid>
      <w:tr>
        <w:trPr>
          <w:trHeight w:hRule="exact" w:val="1762"/>
        </w:trPr>
        <w:tc>
          <w:tcPr>
            <w:tcW w:type="dxa" w:w="1140"/>
            <w:tcBorders/>
            <w:shd w:fill="ffffff"/>
            <w:tcMar>
              <w:start w:w="0" w:type="dxa"/>
              <w:end w:w="0" w:type="dxa"/>
            </w:tcMar>
          </w:tcPr>
          <w:p>
            <w:pPr>
              <w:autoSpaceDN w:val="0"/>
              <w:autoSpaceDE w:val="0"/>
              <w:widowControl/>
              <w:spacing w:line="245" w:lineRule="auto" w:before="6" w:after="0"/>
              <w:ind w:left="900" w:right="114" w:firstLine="0"/>
              <w:jc w:val="both"/>
            </w:pP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p>
        </w:tc>
        <w:tc>
          <w:tcPr>
            <w:tcW w:type="dxa" w:w="8900"/>
            <w:tcBorders/>
            <w:shd w:fill="ffffff"/>
            <w:tcMar>
              <w:start w:w="0" w:type="dxa"/>
              <w:end w:w="0" w:type="dxa"/>
            </w:tcMar>
          </w:tcPr>
          <w:p>
            <w:pPr>
              <w:autoSpaceDN w:val="0"/>
              <w:autoSpaceDE w:val="0"/>
              <w:widowControl/>
              <w:spacing w:line="245" w:lineRule="auto" w:before="36" w:after="0"/>
              <w:ind w:left="120" w:right="1152" w:firstLine="0"/>
              <w:jc w:val="left"/>
            </w:pPr>
            <w:r>
              <w:rPr>
                <w:rFonts w:ascii="" w:hAnsi="" w:eastAsia=""/>
                <w:b w:val="0"/>
                <w:i w:val="0"/>
                <w:color w:val="000000"/>
                <w:sz w:val="20"/>
              </w:rPr>
              <w:t xml:space="preserve">Manufactured (MFG) homes Mixed-use properties Properties with five (5) or more units Properties greater than ten (10) acres Rural properties Unique properties (at Alpha Everest Capital’s discretion) Properties not compliant with local zoning regulations (e.g., unpermitted additions or ADUs) </w:t>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r>
              <w:br/>
            </w:r>
            <w:r>
              <w:rPr>
                <w:rFonts w:ascii="" w:hAnsi="" w:eastAsia=""/>
                <w:b w:val="0"/>
                <w:i w:val="0"/>
                <w:color w:val="000000"/>
                <w:sz w:val="20"/>
              </w:rPr>
              <w:t xml:space="preserve"/>
            </w:r>
          </w:p>
        </w:tc>
      </w:tr>
    </w:tbl>
    <w:p>
      <w:pPr>
        <w:autoSpaceDN w:val="0"/>
        <w:tabs>
          <w:tab w:pos="1740" w:val="left"/>
          <w:tab w:pos="2100" w:val="left"/>
        </w:tabs>
        <w:autoSpaceDE w:val="0"/>
        <w:widowControl/>
        <w:spacing w:line="245" w:lineRule="auto" w:before="198" w:after="0"/>
        <w:ind w:left="1590" w:right="2304" w:firstLine="0"/>
        <w:jc w:val="left"/>
      </w:pPr>
      <w:r>
        <w:rPr>
          <w:rFonts w:ascii="" w:hAnsi="" w:eastAsia=""/>
          <w:b/>
          <w:i w:val="0"/>
          <w:color w:val="000000"/>
          <w:sz w:val="23"/>
        </w:rPr>
        <w:t>9.4</w:t>
      </w:r>
      <w:r>
        <w:rPr>
          <w:rFonts w:ascii="" w:hAnsi="" w:eastAsia=""/>
          <w:b/>
          <w:i w:val="0"/>
          <w:color w:val="000000"/>
          <w:sz w:val="23"/>
        </w:rPr>
        <w:t>​</w:t>
      </w:r>
      <w:r>
        <w:rPr>
          <w:rFonts w:ascii="" w:hAnsi="" w:eastAsia=""/>
          <w:b/>
          <w:i w:val="0"/>
          <w:color w:val="000000"/>
          <w:sz w:val="23"/>
        </w:rPr>
        <w:t xml:space="preserve">Condominium Projects </w:t>
      </w:r>
      <w:r>
        <w:br/>
      </w:r>
      <w:r>
        <w:tab/>
      </w:r>
      <w:r>
        <w:rPr>
          <w:rFonts w:ascii="" w:hAnsi="" w:eastAsia=""/>
          <w:b/>
          <w:i w:val="0"/>
          <w:color w:val="000000"/>
          <w:sz w:val="23"/>
        </w:rPr>
        <w:t>▪​</w:t>
      </w:r>
      <w:r>
        <w:tab/>
      </w:r>
      <w:r>
        <w:rPr>
          <w:rFonts w:ascii="" w:hAnsi="" w:eastAsia=""/>
          <w:b/>
          <w:i w:val="0"/>
          <w:color w:val="000000"/>
          <w:sz w:val="20"/>
        </w:rPr>
        <w:t xml:space="preserve">Warrantable Condo project must follow FNMA selling guidelines, unless additional criteria are </w:t>
      </w:r>
    </w:p>
    <w:p>
      <w:pPr>
        <w:autoSpaceDN w:val="0"/>
        <w:tabs>
          <w:tab w:pos="2100" w:val="left"/>
        </w:tabs>
        <w:autoSpaceDE w:val="0"/>
        <w:widowControl/>
        <w:spacing w:line="245" w:lineRule="auto" w:before="52" w:after="0"/>
        <w:ind w:left="1740" w:right="1584" w:firstLine="0"/>
        <w:jc w:val="left"/>
      </w:pPr>
      <w:r>
        <w:tab/>
      </w:r>
      <w:r>
        <w:rPr>
          <w:rFonts w:ascii="" w:hAnsi="" w:eastAsia=""/>
          <w:b/>
          <w:i w:val="0"/>
          <w:color w:val="000000"/>
          <w:sz w:val="20"/>
        </w:rPr>
        <w:t>specified, and non-warrantable review must follow Full review and non-warrantable condo criteria.</w:t>
      </w:r>
      <w:r>
        <w:rPr>
          <w:rFonts w:ascii="" w:hAnsi="" w:eastAsia=""/>
          <w:b/>
          <w:i w:val="0"/>
          <w:color w:val="000000"/>
          <w:sz w:val="23"/>
        </w:rPr>
        <w:t>▪​</w:t>
      </w:r>
      <w:r>
        <w:tab/>
      </w:r>
      <w:r>
        <w:rPr>
          <w:rFonts w:ascii="" w:hAnsi="" w:eastAsia=""/>
          <w:b/>
          <w:i w:val="0"/>
          <w:color w:val="000000"/>
          <w:sz w:val="20"/>
        </w:rPr>
        <w:t xml:space="preserve">HOA Condominium Questionnaire is required for all units in a condo project.  A new review is required </w:t>
      </w:r>
    </w:p>
    <w:p>
      <w:pPr>
        <w:autoSpaceDN w:val="0"/>
        <w:tabs>
          <w:tab w:pos="2100" w:val="left"/>
          <w:tab w:pos="2160" w:val="left"/>
          <w:tab w:pos="2520" w:val="left"/>
        </w:tabs>
        <w:autoSpaceDE w:val="0"/>
        <w:widowControl/>
        <w:spacing w:line="245" w:lineRule="auto" w:before="52" w:after="0"/>
        <w:ind w:left="1740" w:right="1728" w:firstLine="0"/>
        <w:jc w:val="left"/>
      </w:pPr>
      <w:r>
        <w:tab/>
      </w:r>
      <w:r>
        <w:rPr>
          <w:rFonts w:ascii="" w:hAnsi="" w:eastAsia=""/>
          <w:b/>
          <w:i w:val="0"/>
          <w:color w:val="000000"/>
          <w:sz w:val="20"/>
        </w:rPr>
        <w:t>for each transaction</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Full review or similar </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Limited review or similar </w:t>
      </w:r>
      <w:r>
        <w:br/>
      </w:r>
      <w:r>
        <w:rPr>
          <w:rFonts w:ascii="" w:hAnsi="" w:eastAsia=""/>
          <w:b/>
          <w:i w:val="0"/>
          <w:color w:val="000000"/>
          <w:sz w:val="20"/>
        </w:rPr>
        <w:t>▪​</w:t>
      </w:r>
      <w:r>
        <w:tab/>
      </w:r>
      <w:r>
        <w:rPr>
          <w:rFonts w:ascii="" w:hAnsi="" w:eastAsia=""/>
          <w:b/>
          <w:i w:val="0"/>
          <w:color w:val="000000"/>
          <w:sz w:val="20"/>
        </w:rPr>
        <w:t xml:space="preserve">Condominium project certification or similar certification must be provided with loan package on all </w:t>
      </w:r>
    </w:p>
    <w:p>
      <w:pPr>
        <w:autoSpaceDN w:val="0"/>
        <w:autoSpaceDE w:val="0"/>
        <w:widowControl/>
        <w:spacing w:line="197" w:lineRule="auto" w:before="44" w:after="8"/>
        <w:ind w:left="2100" w:right="0" w:firstLine="0"/>
        <w:jc w:val="left"/>
      </w:pPr>
      <w:r>
        <w:rPr>
          <w:rFonts w:ascii="" w:hAnsi="" w:eastAsia=""/>
          <w:b/>
          <w:i w:val="0"/>
          <w:color w:val="000000"/>
          <w:sz w:val="20"/>
        </w:rPr>
        <w:t xml:space="preserve">projects </w:t>
      </w:r>
    </w:p>
    <w:tbl>
      <w:tblPr>
        <w:tblW w:type="auto" w:w="0"/>
        <w:tblLayout w:type="fixed"/>
        <w:tblLook w:firstColumn="1" w:firstRow="1" w:lastColumn="0" w:lastRow="0" w:noHBand="0" w:noVBand="1" w:val="04A0"/>
        <w:tblInd w:w="860.0" w:type="dxa"/>
      </w:tblPr>
      <w:tblGrid>
        <w:gridCol w:w="3120"/>
        <w:gridCol w:w="3120"/>
        <w:gridCol w:w="3120"/>
      </w:tblGrid>
      <w:tr>
        <w:trPr>
          <w:trHeight w:hRule="exact" w:val="964"/>
        </w:trPr>
        <w:tc>
          <w:tcPr>
            <w:tcW w:type="dxa" w:w="1120"/>
            <w:vMerge w:val="restart"/>
            <w:tcBorders/>
            <w:shd w:fill="ffffff"/>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45" w:lineRule="auto" w:before="6" w:after="0"/>
              <w:ind w:left="880" w:right="114" w:firstLine="0"/>
              <w:jc w:val="both"/>
            </w:pPr>
            <w:r>
              <w:rPr>
                <w:rFonts w:ascii="" w:hAnsi="" w:eastAsia=""/>
                <w:b/>
                <w:i w:val="0"/>
                <w:color w:val="000000"/>
                <w:sz w:val="20"/>
              </w:rPr>
              <w:t>▪​</w:t>
            </w:r>
            <w:r>
              <w:br/>
            </w:r>
            <w:r>
              <w:rPr>
                <w:rFonts w:ascii="" w:hAnsi="" w:eastAsia=""/>
                <w:b/>
                <w:i w:val="0"/>
                <w:color w:val="000000"/>
                <w:sz w:val="20"/>
              </w:rPr>
              <w:t>▪​</w:t>
            </w:r>
            <w:r>
              <w:br/>
            </w:r>
            <w:r>
              <w:rPr>
                <w:rFonts w:ascii="" w:hAnsi="" w:eastAsia=""/>
                <w:b/>
                <w:i w:val="0"/>
                <w:color w:val="000000"/>
                <w:sz w:val="20"/>
              </w:rPr>
              <w:t>▪​</w:t>
            </w:r>
            <w:r>
              <w:br/>
            </w:r>
            <w:r>
              <w:rPr>
                <w:rFonts w:ascii="" w:hAnsi="" w:eastAsia=""/>
                <w:b/>
                <w:i w:val="0"/>
                <w:color w:val="000000"/>
                <w:sz w:val="20"/>
              </w:rPr>
              <w:t>▪​</w:t>
            </w:r>
          </w:p>
        </w:tc>
        <w:tc>
          <w:tcPr>
            <w:tcW w:type="dxa" w:w="9080"/>
            <w:gridSpan w:val="2"/>
            <w:tcBorders/>
            <w:shd w:fill="ffffff"/>
            <w:tcMar>
              <w:start w:w="0" w:type="dxa"/>
              <w:end w:w="0" w:type="dxa"/>
            </w:tcMar>
            <w:tcMar>
              <w:start w:w="0" w:type="dxa"/>
              <w:end w:w="0" w:type="dxa"/>
            </w:tcMar>
          </w:tcPr>
          <w:p>
            <w:pPr>
              <w:autoSpaceDN w:val="0"/>
              <w:autoSpaceDE w:val="0"/>
              <w:widowControl/>
              <w:spacing w:line="245" w:lineRule="auto" w:before="30" w:after="0"/>
              <w:ind w:left="120" w:right="3024" w:firstLine="0"/>
              <w:jc w:val="left"/>
            </w:pPr>
            <w:r>
              <w:rPr>
                <w:rFonts w:ascii="" w:hAnsi="" w:eastAsia=""/>
                <w:b/>
                <w:i w:val="0"/>
                <w:color w:val="000000"/>
                <w:sz w:val="20"/>
              </w:rPr>
              <w:t xml:space="preserve">Master insurance &amp; Ho6, along with all required coverage (all projects) </w:t>
            </w:r>
            <w:r>
              <w:rPr>
                <w:rFonts w:ascii="" w:hAnsi="" w:eastAsia=""/>
                <w:b/>
                <w:i w:val="0"/>
                <w:color w:val="000000"/>
                <w:sz w:val="20"/>
              </w:rPr>
              <w:t xml:space="preserve">Current Budget (Full Review) </w:t>
            </w:r>
            <w:r>
              <w:br/>
            </w:r>
            <w:r>
              <w:rPr>
                <w:rFonts w:ascii="" w:hAnsi="" w:eastAsia=""/>
                <w:b/>
                <w:i w:val="0"/>
                <w:color w:val="000000"/>
                <w:sz w:val="20"/>
              </w:rPr>
              <w:t xml:space="preserve">Recorded declarations/CC&amp;Rs and By-laws (Full Review) </w:t>
            </w:r>
            <w:r>
              <w:br/>
            </w:r>
            <w:r>
              <w:rPr>
                <w:rFonts w:ascii="" w:hAnsi="" w:eastAsia=""/>
                <w:b/>
                <w:i w:val="0"/>
                <w:color w:val="000000"/>
                <w:sz w:val="20"/>
              </w:rPr>
              <w:t xml:space="preserve">Full Project Review </w:t>
            </w:r>
          </w:p>
        </w:tc>
      </w:tr>
      <w:tr>
        <w:trPr>
          <w:trHeight w:hRule="exact" w:val="240"/>
        </w:trPr>
        <w:tc>
          <w:tcPr>
            <w:tcW w:type="dxa" w:w="3120"/>
            <w:vMerge/>
            <w:tcBorders/>
          </w:tcPr>
          <w:p/>
        </w:tc>
        <w:tc>
          <w:tcPr>
            <w:tcW w:type="dxa" w:w="420"/>
            <w:tcBorders/>
            <w:shd w:fill="ffffff"/>
            <w:tcMar>
              <w:start w:w="0" w:type="dxa"/>
              <w:end w:w="0" w:type="dxa"/>
            </w:tcMar>
          </w:tcPr>
          <w:p>
            <w:pPr>
              <w:autoSpaceDN w:val="0"/>
              <w:autoSpaceDE w:val="0"/>
              <w:widowControl/>
              <w:spacing w:line="228" w:lineRule="auto" w:before="8" w:after="0"/>
              <w:ind w:left="0" w:right="84" w:firstLine="0"/>
              <w:jc w:val="right"/>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40" w:after="0"/>
              <w:ind w:left="120" w:right="0" w:firstLine="0"/>
              <w:jc w:val="left"/>
            </w:pPr>
            <w:r>
              <w:rPr>
                <w:rFonts w:ascii="" w:hAnsi="" w:eastAsia=""/>
                <w:b w:val="0"/>
                <w:i w:val="0"/>
                <w:color w:val="000000"/>
                <w:sz w:val="20"/>
              </w:rPr>
              <w:t xml:space="preserve">Attached Condo Unit in a New or Newly converted Project </w:t>
            </w:r>
          </w:p>
        </w:tc>
      </w:tr>
      <w:tr>
        <w:trPr>
          <w:trHeight w:hRule="exact" w:val="260"/>
        </w:trPr>
        <w:tc>
          <w:tcPr>
            <w:tcW w:type="dxa" w:w="3120"/>
            <w:vMerge/>
            <w:tcBorders/>
          </w:tcPr>
          <w:p/>
        </w:tc>
        <w:tc>
          <w:tcPr>
            <w:tcW w:type="dxa" w:w="420"/>
            <w:tcBorders/>
            <w:shd w:fill="ffffff"/>
            <w:tcMar>
              <w:start w:w="0" w:type="dxa"/>
              <w:end w:w="0" w:type="dxa"/>
            </w:tcMar>
          </w:tcPr>
          <w:p>
            <w:pPr>
              <w:autoSpaceDN w:val="0"/>
              <w:autoSpaceDE w:val="0"/>
              <w:widowControl/>
              <w:spacing w:line="228" w:lineRule="auto" w:before="22" w:after="0"/>
              <w:ind w:left="0" w:right="84" w:firstLine="0"/>
              <w:jc w:val="right"/>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54" w:after="0"/>
              <w:ind w:left="120" w:right="0" w:firstLine="0"/>
              <w:jc w:val="left"/>
            </w:pPr>
            <w:r>
              <w:rPr>
                <w:rFonts w:ascii="" w:hAnsi="" w:eastAsia=""/>
                <w:b w:val="0"/>
                <w:i w:val="0"/>
                <w:color w:val="000000"/>
                <w:sz w:val="20"/>
              </w:rPr>
              <w:t xml:space="preserve">Projects that are deemed ineligible for Limited Review must complete a Full project review </w:t>
            </w:r>
          </w:p>
        </w:tc>
      </w:tr>
      <w:tr>
        <w:trPr>
          <w:trHeight w:hRule="exact" w:val="240"/>
        </w:trPr>
        <w:tc>
          <w:tcPr>
            <w:tcW w:type="dxa" w:w="3120"/>
            <w:vMerge/>
            <w:tcBorders/>
          </w:tcPr>
          <w:p/>
        </w:tc>
        <w:tc>
          <w:tcPr>
            <w:tcW w:type="dxa" w:w="420"/>
            <w:tcBorders/>
            <w:shd w:fill="ffffff"/>
            <w:tcMar>
              <w:start w:w="0" w:type="dxa"/>
              <w:end w:w="0" w:type="dxa"/>
            </w:tcMar>
          </w:tcPr>
          <w:p>
            <w:pPr>
              <w:autoSpaceDN w:val="0"/>
              <w:autoSpaceDE w:val="0"/>
              <w:widowControl/>
              <w:spacing w:line="228" w:lineRule="auto" w:before="6" w:after="0"/>
              <w:ind w:left="0" w:right="84" w:firstLine="0"/>
              <w:jc w:val="right"/>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38" w:after="0"/>
              <w:ind w:left="120" w:right="0" w:firstLine="0"/>
              <w:jc w:val="left"/>
            </w:pPr>
            <w:r>
              <w:rPr>
                <w:rFonts w:ascii="" w:hAnsi="" w:eastAsia=""/>
                <w:b w:val="0"/>
                <w:i w:val="0"/>
                <w:color w:val="000000"/>
                <w:sz w:val="20"/>
              </w:rPr>
              <w:t xml:space="preserve">Non-warrantable condos project with NW condo restrictions noted below </w:t>
            </w:r>
          </w:p>
        </w:tc>
      </w:tr>
      <w:tr>
        <w:trPr>
          <w:trHeight w:hRule="exact" w:val="264"/>
        </w:trPr>
        <w:tc>
          <w:tcPr>
            <w:tcW w:type="dxa" w:w="3120"/>
            <w:vMerge/>
            <w:tcBorders/>
          </w:tcPr>
          <w:p/>
        </w:tc>
        <w:tc>
          <w:tcPr>
            <w:tcW w:type="dxa" w:w="420"/>
            <w:tcBorders/>
            <w:shd w:fill="ffffff"/>
            <w:tcMar>
              <w:start w:w="0" w:type="dxa"/>
              <w:end w:w="0" w:type="dxa"/>
            </w:tcMar>
          </w:tcPr>
          <w:p>
            <w:pPr>
              <w:autoSpaceDN w:val="0"/>
              <w:autoSpaceDE w:val="0"/>
              <w:widowControl/>
              <w:spacing w:line="228" w:lineRule="auto" w:before="10" w:after="0"/>
              <w:ind w:left="0" w:right="84" w:firstLine="0"/>
              <w:jc w:val="right"/>
            </w:pPr>
            <w:r>
              <w:rPr>
                <w:rFonts w:ascii="" w:hAnsi="" w:eastAsia=""/>
                <w:b w:val="0"/>
                <w:i w:val="0"/>
                <w:color w:val="000000"/>
                <w:sz w:val="20"/>
              </w:rPr>
              <w:t>–</w:t>
            </w:r>
            <w:r>
              <w:rPr>
                <w:rFonts w:ascii="" w:hAnsi="" w:eastAsia=""/>
                <w:b w:val="0"/>
                <w:i w:val="0"/>
                <w:color w:val="000000"/>
                <w:sz w:val="20"/>
              </w:rPr>
              <w:t>​</w:t>
            </w:r>
          </w:p>
        </w:tc>
        <w:tc>
          <w:tcPr>
            <w:tcW w:type="dxa" w:w="8660"/>
            <w:tcBorders/>
            <w:shd w:fill="ffffff"/>
            <w:tcMar>
              <w:start w:w="0" w:type="dxa"/>
              <w:end w:w="0" w:type="dxa"/>
            </w:tcMar>
          </w:tcPr>
          <w:p>
            <w:pPr>
              <w:autoSpaceDN w:val="0"/>
              <w:autoSpaceDE w:val="0"/>
              <w:widowControl/>
              <w:spacing w:line="197" w:lineRule="auto" w:before="42" w:after="0"/>
              <w:ind w:left="120" w:right="0" w:firstLine="0"/>
              <w:jc w:val="left"/>
            </w:pPr>
            <w:r>
              <w:rPr>
                <w:rFonts w:ascii="" w:hAnsi="" w:eastAsia=""/>
                <w:b w:val="0"/>
                <w:i w:val="0"/>
                <w:color w:val="000000"/>
                <w:sz w:val="20"/>
              </w:rPr>
              <w:t xml:space="preserve">Full review for established projects must be completed within 1 year of note date. A new </w:t>
            </w:r>
          </w:p>
        </w:tc>
      </w:tr>
    </w:tbl>
    <w:p>
      <w:pPr>
        <w:autoSpaceDN w:val="0"/>
        <w:tabs>
          <w:tab w:pos="2520" w:val="left"/>
        </w:tabs>
        <w:autoSpaceDE w:val="0"/>
        <w:widowControl/>
        <w:spacing w:line="245" w:lineRule="auto" w:before="22" w:after="0"/>
        <w:ind w:left="2160" w:right="2160" w:firstLine="0"/>
        <w:jc w:val="left"/>
      </w:pPr>
      <w:r>
        <w:tab/>
      </w:r>
      <w:r>
        <w:rPr>
          <w:rFonts w:ascii="" w:hAnsi="" w:eastAsia=""/>
          <w:b w:val="0"/>
          <w:i w:val="0"/>
          <w:color w:val="000000"/>
          <w:sz w:val="20"/>
        </w:rPr>
        <w:t xml:space="preserve">questionnaire is required for each loan transaction as well as condo project certification </w:t>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Full review for new condo must be completed within 180 days prior to the note date. A new </w:t>
      </w:r>
    </w:p>
    <w:p>
      <w:pPr>
        <w:autoSpaceDN w:val="0"/>
        <w:tabs>
          <w:tab w:pos="2100" w:val="left"/>
          <w:tab w:pos="2160" w:val="left"/>
          <w:tab w:pos="2520" w:val="left"/>
        </w:tabs>
        <w:autoSpaceDE w:val="0"/>
        <w:widowControl/>
        <w:spacing w:line="245" w:lineRule="auto" w:before="44" w:after="0"/>
        <w:ind w:left="1740" w:right="1872" w:firstLine="0"/>
        <w:jc w:val="left"/>
      </w:pPr>
      <w:r>
        <w:tab/>
      </w:r>
      <w:r>
        <w:tab/>
      </w:r>
      <w:r>
        <w:tab/>
      </w:r>
      <w:r>
        <w:rPr>
          <w:rFonts w:ascii="" w:hAnsi="" w:eastAsia=""/>
          <w:b w:val="0"/>
          <w:i w:val="0"/>
          <w:color w:val="000000"/>
          <w:sz w:val="20"/>
        </w:rPr>
        <w:t xml:space="preserve">questionnaire is required for each loan transaction as well as condominium project certification </w:t>
      </w:r>
      <w:r>
        <w:rPr>
          <w:rFonts w:ascii="" w:hAnsi="" w:eastAsia=""/>
          <w:b/>
          <w:i w:val="0"/>
          <w:color w:val="000000"/>
          <w:sz w:val="20"/>
        </w:rPr>
        <w:t>▪​</w:t>
      </w:r>
      <w:r>
        <w:tab/>
      </w:r>
      <w:r>
        <w:rPr>
          <w:rFonts w:ascii="" w:hAnsi="" w:eastAsia=""/>
          <w:b/>
          <w:i w:val="0"/>
          <w:color w:val="000000"/>
          <w:sz w:val="20"/>
        </w:rPr>
        <w:t xml:space="preserve">Limited Project Review </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To be eligible, the unit securing the mortgage must be an attached unit in an established condo </w:t>
      </w:r>
    </w:p>
    <w:p>
      <w:pPr>
        <w:autoSpaceDN w:val="0"/>
        <w:tabs>
          <w:tab w:pos="2520" w:val="left"/>
        </w:tabs>
        <w:autoSpaceDE w:val="0"/>
        <w:widowControl/>
        <w:spacing w:line="245" w:lineRule="auto" w:before="44" w:after="0"/>
        <w:ind w:left="2160" w:right="1728" w:firstLine="0"/>
        <w:jc w:val="left"/>
      </w:pPr>
      <w:r>
        <w:tab/>
      </w:r>
      <w:r>
        <w:rPr>
          <w:rFonts w:ascii="" w:hAnsi="" w:eastAsia=""/>
          <w:b w:val="0"/>
          <w:i w:val="0"/>
          <w:color w:val="000000"/>
          <w:sz w:val="20"/>
        </w:rPr>
        <w:t xml:space="preserve">project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Attached unit in established project located in Florida may be subject to more restrictive LTV ratio </w:t>
      </w:r>
    </w:p>
    <w:p>
      <w:pPr>
        <w:autoSpaceDN w:val="0"/>
        <w:autoSpaceDE w:val="0"/>
        <w:widowControl/>
        <w:spacing w:line="197" w:lineRule="auto" w:before="46" w:after="0"/>
        <w:ind w:left="2520" w:right="0" w:firstLine="0"/>
        <w:jc w:val="left"/>
      </w:pPr>
      <w:r>
        <w:rPr>
          <w:rFonts w:ascii="" w:hAnsi="" w:eastAsia=""/>
          <w:b w:val="0"/>
          <w:i w:val="0"/>
          <w:color w:val="000000"/>
          <w:sz w:val="20"/>
        </w:rPr>
        <w:t xml:space="preserve">requirement under the limited review process </w:t>
      </w:r>
    </w:p>
    <w:p>
      <w:pPr>
        <w:autoSpaceDN w:val="0"/>
        <w:autoSpaceDE w:val="0"/>
        <w:widowControl/>
        <w:spacing w:line="218" w:lineRule="auto" w:before="606" w:after="0"/>
        <w:ind w:left="0" w:right="0" w:firstLine="0"/>
        <w:jc w:val="center"/>
      </w:pPr>
      <w:r>
        <w:rPr>
          <w:rFonts w:ascii="" w:hAnsi="" w:eastAsia=""/>
          <w:b w:val="0"/>
          <w:i w:val="0"/>
          <w:color w:val="4F81BD"/>
          <w:sz w:val="22"/>
        </w:rPr>
        <w:t xml:space="preserve">11 </w:t>
      </w:r>
    </w:p>
    <w:p>
      <w:pPr>
        <w:sectPr>
          <w:pgSz w:w="12240" w:h="15840"/>
          <w:pgMar w:top="0" w:right="0" w:bottom="0" w:left="0" w:header="720" w:footer="720" w:gutter="0"/>
          <w:cols/>
          <w:docGrid w:linePitch="360"/>
        </w:sectPr>
      </w:pPr>
    </w:p>
    <w:p>
      <w:pPr>
        <w:autoSpaceDN w:val="0"/>
        <w:autoSpaceDE w:val="0"/>
        <w:widowControl/>
        <w:spacing w:line="1394" w:lineRule="exact" w:before="0" w:after="0"/>
        <w:ind w:left="0" w:right="0"/>
      </w:pPr>
    </w:p>
    <w:tbl>
      <w:tblPr>
        <w:tblW w:type="auto" w:w="0"/>
        <w:tblLayout w:type="fixed"/>
        <w:tblLook w:firstColumn="1" w:firstRow="1" w:lastColumn="0" w:lastRow="0" w:noHBand="0" w:noVBand="1" w:val="04A0"/>
        <w:tblInd w:w="1080.0" w:type="dxa"/>
      </w:tblPr>
      <w:tblGrid>
        <w:gridCol w:w="4680"/>
        <w:gridCol w:w="4680"/>
      </w:tblGrid>
      <w:tr>
        <w:trPr>
          <w:trHeight w:hRule="exact" w:val="1288"/>
        </w:trPr>
        <w:tc>
          <w:tcPr>
            <w:tcW w:type="dxa" w:w="1320"/>
            <w:tcBorders/>
            <w:shd w:fill="ffffff"/>
            <w:tcMar>
              <w:start w:w="0" w:type="dxa"/>
              <w:end w:w="0" w:type="dxa"/>
            </w:tcMar>
          </w:tcPr>
          <w:p>
            <w:pPr>
              <w:autoSpaceDN w:val="0"/>
              <w:autoSpaceDE w:val="0"/>
              <w:widowControl/>
              <w:spacing w:line="245" w:lineRule="auto" w:before="60" w:after="0"/>
              <w:ind w:left="1080" w:right="84" w:firstLine="0"/>
              <w:jc w:val="both"/>
            </w:pP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r>
              <w:br/>
            </w:r>
            <w:r>
              <w:rPr>
                <w:rFonts w:ascii="" w:hAnsi="" w:eastAsia=""/>
                <w:b w:val="0"/>
                <w:i w:val="0"/>
                <w:color w:val="000000"/>
                <w:sz w:val="20"/>
              </w:rPr>
              <w:t>–</w:t>
            </w:r>
            <w:r>
              <w:rPr>
                <w:rFonts w:ascii="" w:hAnsi="" w:eastAsia=""/>
                <w:b w:val="0"/>
                <w:i w:val="0"/>
                <w:color w:val="000000"/>
                <w:sz w:val="20"/>
              </w:rPr>
              <w:t>​</w:t>
            </w:r>
          </w:p>
        </w:tc>
        <w:tc>
          <w:tcPr>
            <w:tcW w:type="dxa" w:w="8960"/>
            <w:tcBorders/>
            <w:shd w:fill="ffffff"/>
            <w:tcMar>
              <w:start w:w="0" w:type="dxa"/>
              <w:end w:w="0" w:type="dxa"/>
            </w:tcMar>
          </w:tcPr>
          <w:p>
            <w:pPr>
              <w:autoSpaceDN w:val="0"/>
              <w:autoSpaceDE w:val="0"/>
              <w:widowControl/>
              <w:spacing w:line="245" w:lineRule="auto" w:before="90" w:after="0"/>
              <w:ind w:left="120" w:right="864" w:firstLine="0"/>
              <w:jc w:val="left"/>
            </w:pPr>
            <w:r>
              <w:rPr>
                <w:rFonts w:ascii="" w:hAnsi="" w:eastAsia=""/>
                <w:b w:val="0"/>
                <w:i w:val="0"/>
                <w:color w:val="000000"/>
                <w:sz w:val="20"/>
              </w:rPr>
              <w:t xml:space="preserve">Seller must ensure the project and unit meet the follow eligibility requirements: </w:t>
            </w:r>
            <w:r>
              <w:br/>
            </w:r>
            <w:r>
              <w:rPr>
                <w:rFonts w:ascii="" w:hAnsi="" w:eastAsia=""/>
                <w:b w:val="0"/>
                <w:i w:val="0"/>
                <w:color w:val="000000"/>
                <w:sz w:val="20"/>
              </w:rPr>
              <w:t xml:space="preserve">The project meets the general requirements for condos, Co-ops, or PUD </w:t>
            </w:r>
            <w:r>
              <w:br/>
            </w:r>
            <w:r>
              <w:rPr>
                <w:rFonts w:ascii="" w:hAnsi="" w:eastAsia=""/>
                <w:b w:val="0"/>
                <w:i w:val="0"/>
                <w:color w:val="000000"/>
                <w:sz w:val="20"/>
              </w:rPr>
              <w:t xml:space="preserve">The project does not include manufactured homes </w:t>
            </w:r>
            <w:r>
              <w:br/>
            </w:r>
            <w:r>
              <w:rPr>
                <w:rFonts w:ascii="" w:hAnsi="" w:eastAsia=""/>
                <w:b w:val="0"/>
                <w:i w:val="0"/>
                <w:color w:val="000000"/>
                <w:sz w:val="20"/>
              </w:rPr>
              <w:t xml:space="preserve">No more than 15% of the units have special assessments that are 60 or more days past due </w:t>
            </w:r>
            <w:r>
              <w:rPr>
                <w:rFonts w:ascii="" w:hAnsi="" w:eastAsia=""/>
                <w:b w:val="0"/>
                <w:i w:val="0"/>
                <w:color w:val="000000"/>
                <w:sz w:val="20"/>
              </w:rPr>
              <w:t xml:space="preserve">If the LTV, CLTV or HVLTV ratio exceeds limits, or if the seller becomes aware of any factors making </w:t>
            </w:r>
          </w:p>
        </w:tc>
      </w:tr>
    </w:tbl>
    <w:p>
      <w:pPr>
        <w:autoSpaceDN w:val="0"/>
        <w:tabs>
          <w:tab w:pos="2520" w:val="left"/>
        </w:tabs>
        <w:autoSpaceDE w:val="0"/>
        <w:widowControl/>
        <w:spacing w:line="245" w:lineRule="auto" w:before="22" w:after="0"/>
        <w:ind w:left="2160" w:right="1728" w:firstLine="0"/>
        <w:jc w:val="left"/>
      </w:pPr>
      <w:r>
        <w:tab/>
      </w:r>
      <w:r>
        <w:rPr>
          <w:rFonts w:ascii="" w:hAnsi="" w:eastAsia=""/>
          <w:b w:val="0"/>
          <w:i w:val="0"/>
          <w:color w:val="000000"/>
          <w:sz w:val="20"/>
        </w:rPr>
        <w:t xml:space="preserve">the project ineligible under a limited review, they must use full review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The project does not exhibit any characteristic that would classify it as an ineligible condominium </w:t>
      </w:r>
    </w:p>
    <w:p>
      <w:pPr>
        <w:autoSpaceDN w:val="0"/>
        <w:autoSpaceDE w:val="0"/>
        <w:widowControl/>
        <w:spacing w:line="245" w:lineRule="auto" w:before="46" w:after="0"/>
        <w:ind w:left="2520" w:right="2304" w:firstLine="0"/>
        <w:jc w:val="left"/>
      </w:pPr>
      <w:r>
        <w:rPr>
          <w:rFonts w:ascii="" w:hAnsi="" w:eastAsia=""/>
          <w:b w:val="0"/>
          <w:i w:val="0"/>
          <w:color w:val="000000"/>
          <w:sz w:val="20"/>
        </w:rPr>
        <w:t xml:space="preserve">project under FNMA guidelines including but not limited to: </w:t>
      </w:r>
      <w:r>
        <w:br/>
      </w:r>
      <w:r>
        <w:rPr>
          <w:rFonts w:ascii="" w:hAnsi="" w:eastAsia=""/>
          <w:b w:val="0"/>
          <w:i w:val="0"/>
          <w:color w:val="000000"/>
          <w:sz w:val="20"/>
        </w:rPr>
        <w:t>1.</w:t>
      </w:r>
      <w:r>
        <w:rPr>
          <w:rFonts w:ascii="" w:hAnsi="" w:eastAsia=""/>
          <w:b w:val="0"/>
          <w:i w:val="0"/>
          <w:color w:val="000000"/>
          <w:sz w:val="20"/>
        </w:rPr>
        <w:t>​</w:t>
      </w:r>
      <w:r>
        <w:rPr>
          <w:rFonts w:ascii="" w:hAnsi="" w:eastAsia=""/>
          <w:b w:val="0"/>
          <w:i w:val="0"/>
          <w:color w:val="000000"/>
          <w:sz w:val="20"/>
        </w:rPr>
        <w:t xml:space="preserve">Condotels, including project with registration service and/or projects that operates as </w:t>
      </w:r>
    </w:p>
    <w:p>
      <w:pPr>
        <w:autoSpaceDN w:val="0"/>
        <w:tabs>
          <w:tab w:pos="2520" w:val="left"/>
          <w:tab w:pos="2880" w:val="left"/>
        </w:tabs>
        <w:autoSpaceDE w:val="0"/>
        <w:widowControl/>
        <w:spacing w:line="245" w:lineRule="auto" w:before="44" w:after="0"/>
        <w:ind w:left="2160" w:right="1584" w:firstLine="0"/>
        <w:jc w:val="left"/>
      </w:pPr>
      <w:r>
        <w:tab/>
      </w:r>
      <w:r>
        <w:tab/>
      </w:r>
      <w:r>
        <w:rPr>
          <w:rFonts w:ascii="" w:hAnsi="" w:eastAsia=""/>
          <w:b w:val="0"/>
          <w:i w:val="0"/>
          <w:color w:val="000000"/>
          <w:sz w:val="20"/>
        </w:rPr>
        <w:t xml:space="preserve">motel/hotel </w:t>
      </w:r>
      <w:r>
        <w:br/>
      </w:r>
      <w:r>
        <w:tab/>
      </w:r>
      <w:r>
        <w:rPr>
          <w:rFonts w:ascii="" w:hAnsi="" w:eastAsia=""/>
          <w:b w:val="0"/>
          <w:i w:val="0"/>
          <w:color w:val="000000"/>
          <w:sz w:val="20"/>
        </w:rPr>
        <w:t>2.</w:t>
      </w:r>
      <w:r>
        <w:rPr>
          <w:rFonts w:ascii="" w:hAnsi="" w:eastAsia=""/>
          <w:b w:val="0"/>
          <w:i w:val="0"/>
          <w:color w:val="000000"/>
          <w:sz w:val="20"/>
        </w:rPr>
        <w:t>​</w:t>
      </w:r>
      <w:r>
        <w:rPr>
          <w:rFonts w:ascii="" w:hAnsi="" w:eastAsia=""/>
          <w:b w:val="0"/>
          <w:i w:val="0"/>
          <w:color w:val="000000"/>
          <w:sz w:val="20"/>
        </w:rPr>
        <w:t xml:space="preserve">Project subject to split ownership arrangements </w:t>
      </w:r>
      <w:r>
        <w:br/>
      </w:r>
      <w:r>
        <w:tab/>
      </w:r>
      <w:r>
        <w:rPr>
          <w:rFonts w:ascii="" w:hAnsi="" w:eastAsia=""/>
          <w:b w:val="0"/>
          <w:i w:val="0"/>
          <w:color w:val="000000"/>
          <w:sz w:val="20"/>
        </w:rPr>
        <w:t>3.</w:t>
      </w:r>
      <w:r>
        <w:rPr>
          <w:rFonts w:ascii="" w:hAnsi="" w:eastAsia=""/>
          <w:b w:val="0"/>
          <w:i w:val="0"/>
          <w:color w:val="000000"/>
          <w:sz w:val="20"/>
        </w:rPr>
        <w:t>​</w:t>
      </w:r>
      <w:r>
        <w:rPr>
          <w:rFonts w:ascii="" w:hAnsi="" w:eastAsia=""/>
          <w:b w:val="0"/>
          <w:i w:val="0"/>
          <w:color w:val="000000"/>
          <w:sz w:val="20"/>
        </w:rPr>
        <w:t xml:space="preserve">Projects that contain multi-dwelling unit condos </w:t>
      </w:r>
      <w:r>
        <w:br/>
      </w:r>
      <w:r>
        <w:tab/>
      </w:r>
      <w:r>
        <w:rPr>
          <w:rFonts w:ascii="" w:hAnsi="" w:eastAsia=""/>
          <w:b w:val="0"/>
          <w:i w:val="0"/>
          <w:color w:val="000000"/>
          <w:sz w:val="20"/>
        </w:rPr>
        <w:t>4.</w:t>
      </w:r>
      <w:r>
        <w:rPr>
          <w:rFonts w:ascii="" w:hAnsi="" w:eastAsia=""/>
          <w:b w:val="0"/>
          <w:i w:val="0"/>
          <w:color w:val="000000"/>
          <w:sz w:val="20"/>
        </w:rPr>
        <w:t>​</w:t>
      </w:r>
      <w:r>
        <w:rPr>
          <w:rFonts w:ascii="" w:hAnsi="" w:eastAsia=""/>
          <w:b w:val="0"/>
          <w:i w:val="0"/>
          <w:color w:val="000000"/>
          <w:sz w:val="20"/>
        </w:rPr>
        <w:t xml:space="preserve">Projects with property that is no real property </w:t>
      </w:r>
      <w:r>
        <w:br/>
      </w:r>
      <w:r>
        <w:tab/>
      </w:r>
      <w:r>
        <w:rPr>
          <w:rFonts w:ascii="" w:hAnsi="" w:eastAsia=""/>
          <w:b w:val="0"/>
          <w:i w:val="0"/>
          <w:color w:val="000000"/>
          <w:sz w:val="20"/>
        </w:rPr>
        <w:t>5.</w:t>
      </w:r>
      <w:r>
        <w:rPr>
          <w:rFonts w:ascii="" w:hAnsi="" w:eastAsia=""/>
          <w:b w:val="0"/>
          <w:i w:val="0"/>
          <w:color w:val="000000"/>
          <w:sz w:val="20"/>
        </w:rPr>
        <w:t>​</w:t>
      </w:r>
      <w:r>
        <w:rPr>
          <w:rFonts w:ascii="" w:hAnsi="" w:eastAsia=""/>
          <w:b w:val="0"/>
          <w:i w:val="0"/>
          <w:color w:val="000000"/>
          <w:sz w:val="20"/>
        </w:rPr>
        <w:t xml:space="preserve">Projects that operate as a continuing care community or facility </w:t>
      </w:r>
      <w:r>
        <w:br/>
      </w:r>
      <w:r>
        <w:tab/>
      </w:r>
      <w:r>
        <w:rPr>
          <w:rFonts w:ascii="" w:hAnsi="" w:eastAsia=""/>
          <w:b w:val="0"/>
          <w:i w:val="0"/>
          <w:color w:val="000000"/>
          <w:sz w:val="20"/>
        </w:rPr>
        <w:t>6.</w:t>
      </w:r>
      <w:r>
        <w:rPr>
          <w:rFonts w:ascii="" w:hAnsi="" w:eastAsia=""/>
          <w:b w:val="0"/>
          <w:i w:val="0"/>
          <w:color w:val="000000"/>
          <w:sz w:val="20"/>
        </w:rPr>
        <w:t>​</w:t>
      </w:r>
      <w:r>
        <w:rPr>
          <w:rFonts w:ascii="" w:hAnsi="" w:eastAsia=""/>
          <w:b w:val="0"/>
          <w:i w:val="0"/>
          <w:color w:val="000000"/>
          <w:sz w:val="20"/>
        </w:rPr>
        <w:t xml:space="preserve">Non-incidental business arrangements </w:t>
      </w:r>
      <w:r>
        <w:br/>
      </w:r>
      <w:r>
        <w:tab/>
      </w:r>
      <w:r>
        <w:rPr>
          <w:rFonts w:ascii="" w:hAnsi="" w:eastAsia=""/>
          <w:b w:val="0"/>
          <w:i w:val="0"/>
          <w:color w:val="000000"/>
          <w:sz w:val="20"/>
        </w:rPr>
        <w:t>7.</w:t>
      </w:r>
      <w:r>
        <w:rPr>
          <w:rFonts w:ascii="" w:hAnsi="" w:eastAsia=""/>
          <w:b w:val="0"/>
          <w:i w:val="0"/>
          <w:color w:val="000000"/>
          <w:sz w:val="20"/>
        </w:rPr>
        <w:t>​</w:t>
      </w:r>
      <w:r>
        <w:rPr>
          <w:rFonts w:ascii="" w:hAnsi="" w:eastAsia=""/>
          <w:b w:val="0"/>
          <w:i w:val="0"/>
          <w:color w:val="000000"/>
          <w:sz w:val="20"/>
        </w:rPr>
        <w:t xml:space="preserve">Commercial space and mixed-use allocation </w:t>
      </w:r>
      <w:r>
        <w:br/>
      </w:r>
      <w:r>
        <w:tab/>
      </w:r>
      <w:r>
        <w:rPr>
          <w:rFonts w:ascii="" w:hAnsi="" w:eastAsia=""/>
          <w:b w:val="0"/>
          <w:i w:val="0"/>
          <w:color w:val="000000"/>
          <w:sz w:val="20"/>
        </w:rPr>
        <w:t>8.</w:t>
      </w:r>
      <w:r>
        <w:rPr>
          <w:rFonts w:ascii="" w:hAnsi="" w:eastAsia=""/>
          <w:b w:val="0"/>
          <w:i w:val="0"/>
          <w:color w:val="000000"/>
          <w:sz w:val="20"/>
        </w:rPr>
        <w:t>​</w:t>
      </w:r>
      <w:r>
        <w:rPr>
          <w:rFonts w:ascii="" w:hAnsi="" w:eastAsia=""/>
          <w:b w:val="0"/>
          <w:i w:val="0"/>
          <w:color w:val="000000"/>
          <w:sz w:val="20"/>
        </w:rPr>
        <w:t xml:space="preserve">Recreational leases and mandatory memberships </w:t>
      </w:r>
      <w:r>
        <w:br/>
      </w:r>
      <w:r>
        <w:tab/>
      </w:r>
      <w:r>
        <w:rPr>
          <w:rFonts w:ascii="" w:hAnsi="" w:eastAsia=""/>
          <w:b w:val="0"/>
          <w:i w:val="0"/>
          <w:color w:val="000000"/>
          <w:sz w:val="20"/>
        </w:rPr>
        <w:t>9.</w:t>
      </w:r>
      <w:r>
        <w:rPr>
          <w:rFonts w:ascii="" w:hAnsi="" w:eastAsia=""/>
          <w:b w:val="0"/>
          <w:i w:val="0"/>
          <w:color w:val="000000"/>
          <w:sz w:val="20"/>
        </w:rPr>
        <w:t>​</w:t>
      </w:r>
      <w:r>
        <w:rPr>
          <w:rFonts w:ascii="" w:hAnsi="" w:eastAsia=""/>
          <w:b w:val="0"/>
          <w:i w:val="0"/>
          <w:color w:val="000000"/>
          <w:sz w:val="20"/>
        </w:rPr>
        <w:t xml:space="preserve">Live-work projects </w:t>
      </w:r>
      <w:r>
        <w:br/>
      </w:r>
      <w:r>
        <w:tab/>
      </w:r>
      <w:r>
        <w:rPr>
          <w:rFonts w:ascii="" w:hAnsi="" w:eastAsia=""/>
          <w:b w:val="0"/>
          <w:i w:val="0"/>
          <w:color w:val="000000"/>
          <w:sz w:val="20"/>
        </w:rPr>
        <w:t>10.</w:t>
      </w:r>
      <w:r>
        <w:rPr>
          <w:rFonts w:ascii="" w:hAnsi="" w:eastAsia=""/>
          <w:b w:val="0"/>
          <w:i w:val="0"/>
          <w:color w:val="000000"/>
          <w:sz w:val="20"/>
        </w:rPr>
        <w:t>​</w:t>
      </w:r>
      <w:r>
        <w:rPr>
          <w:rFonts w:ascii="" w:hAnsi="" w:eastAsia=""/>
          <w:b w:val="0"/>
          <w:i w:val="0"/>
          <w:color w:val="000000"/>
          <w:sz w:val="20"/>
        </w:rPr>
        <w:t xml:space="preserve"> Litigation or pre-ligation activities </w:t>
      </w:r>
      <w:r>
        <w:br/>
      </w:r>
      <w:r>
        <w:tab/>
      </w:r>
      <w:r>
        <w:rPr>
          <w:rFonts w:ascii="" w:hAnsi="" w:eastAsia=""/>
          <w:b w:val="0"/>
          <w:i w:val="0"/>
          <w:color w:val="000000"/>
          <w:sz w:val="20"/>
        </w:rPr>
        <w:t>11.</w:t>
      </w:r>
      <w:r>
        <w:rPr>
          <w:rFonts w:ascii="" w:hAnsi="" w:eastAsia=""/>
          <w:b w:val="0"/>
          <w:i w:val="0"/>
          <w:color w:val="000000"/>
          <w:sz w:val="20"/>
        </w:rPr>
        <w:t>​</w:t>
      </w:r>
      <w:r>
        <w:rPr>
          <w:rFonts w:ascii="" w:hAnsi="" w:eastAsia=""/>
          <w:b w:val="0"/>
          <w:i w:val="0"/>
          <w:color w:val="000000"/>
          <w:sz w:val="20"/>
        </w:rPr>
        <w:t xml:space="preserve"> Single-entity ownership </w:t>
      </w:r>
      <w:r>
        <w:br/>
      </w:r>
      <w:r>
        <w:tab/>
      </w:r>
      <w:r>
        <w:rPr>
          <w:rFonts w:ascii="" w:hAnsi="" w:eastAsia=""/>
          <w:b w:val="0"/>
          <w:i w:val="0"/>
          <w:color w:val="000000"/>
          <w:sz w:val="20"/>
        </w:rPr>
        <w:t>12.</w:t>
      </w:r>
      <w:r>
        <w:rPr>
          <w:rFonts w:ascii="" w:hAnsi="" w:eastAsia=""/>
          <w:b w:val="0"/>
          <w:i w:val="0"/>
          <w:color w:val="000000"/>
          <w:sz w:val="20"/>
        </w:rPr>
        <w:t>​</w:t>
      </w:r>
      <w:r>
        <w:rPr>
          <w:rFonts w:ascii="" w:hAnsi="" w:eastAsia=""/>
          <w:b w:val="0"/>
          <w:i w:val="0"/>
          <w:color w:val="000000"/>
          <w:sz w:val="20"/>
        </w:rPr>
        <w:t xml:space="preserve"> Projects in need of critical repairs </w:t>
      </w:r>
      <w:r>
        <w:br/>
      </w:r>
      <w:r>
        <w:tab/>
      </w:r>
      <w:r>
        <w:rPr>
          <w:rFonts w:ascii="" w:hAnsi="" w:eastAsia=""/>
          <w:b w:val="0"/>
          <w:i w:val="0"/>
          <w:color w:val="000000"/>
          <w:sz w:val="20"/>
        </w:rPr>
        <w:t>13.</w:t>
      </w:r>
      <w:r>
        <w:rPr>
          <w:rFonts w:ascii="" w:hAnsi="" w:eastAsia=""/>
          <w:b w:val="0"/>
          <w:i w:val="0"/>
          <w:color w:val="000000"/>
          <w:sz w:val="20"/>
        </w:rPr>
        <w:t>​</w:t>
      </w:r>
      <w:r>
        <w:rPr>
          <w:rFonts w:ascii="" w:hAnsi="" w:eastAsia=""/>
          <w:b w:val="0"/>
          <w:i w:val="0"/>
          <w:color w:val="000000"/>
          <w:sz w:val="20"/>
        </w:rPr>
        <w:t xml:space="preserve"> Projects terminating or involved in insolvency proceedings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Limited review must be completed within 1 year of note date – A new questionnaire is required for </w:t>
      </w:r>
    </w:p>
    <w:p>
      <w:pPr>
        <w:autoSpaceDN w:val="0"/>
        <w:tabs>
          <w:tab w:pos="2100" w:val="left"/>
          <w:tab w:pos="2160" w:val="left"/>
          <w:tab w:pos="2520" w:val="left"/>
        </w:tabs>
        <w:autoSpaceDE w:val="0"/>
        <w:widowControl/>
        <w:spacing w:line="245" w:lineRule="auto" w:before="44" w:after="0"/>
        <w:ind w:left="1740" w:right="1584" w:firstLine="0"/>
        <w:jc w:val="left"/>
      </w:pPr>
      <w:r>
        <w:tab/>
      </w:r>
      <w:r>
        <w:tab/>
      </w:r>
      <w:r>
        <w:tab/>
      </w:r>
      <w:r>
        <w:rPr>
          <w:rFonts w:ascii="" w:hAnsi="" w:eastAsia=""/>
          <w:b w:val="0"/>
          <w:i w:val="0"/>
          <w:color w:val="000000"/>
          <w:sz w:val="20"/>
        </w:rPr>
        <w:t xml:space="preserve">each loan transaction as well as condo project certification </w:t>
      </w:r>
      <w:r>
        <w:br/>
      </w:r>
      <w:r>
        <w:rPr>
          <w:rFonts w:ascii="" w:hAnsi="" w:eastAsia=""/>
          <w:b/>
          <w:i w:val="0"/>
          <w:color w:val="000000"/>
          <w:sz w:val="20"/>
        </w:rPr>
        <w:t>▪​</w:t>
      </w:r>
      <w:r>
        <w:tab/>
      </w:r>
      <w:r>
        <w:rPr>
          <w:rFonts w:ascii="" w:hAnsi="" w:eastAsia=""/>
          <w:b/>
          <w:i w:val="0"/>
          <w:color w:val="000000"/>
          <w:sz w:val="20"/>
        </w:rPr>
        <w:t xml:space="preserve">Restrictions to Non-Warrantable Condos include: </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Risk Stacking of non-warrantable features are not permitted </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A single owner/entity may not own more than 30% of the units </w:t>
      </w:r>
      <w:r>
        <w:br/>
      </w:r>
      <w:r>
        <w:tab/>
      </w:r>
      <w:r>
        <w:tab/>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Commercial space must be typical to the market, have no negative impact and comprise 49% or less </w:t>
      </w:r>
    </w:p>
    <w:p>
      <w:pPr>
        <w:autoSpaceDN w:val="0"/>
        <w:tabs>
          <w:tab w:pos="2520" w:val="left"/>
        </w:tabs>
        <w:autoSpaceDE w:val="0"/>
        <w:widowControl/>
        <w:spacing w:line="245" w:lineRule="auto" w:before="44" w:after="0"/>
        <w:ind w:left="2160" w:right="2160" w:firstLine="0"/>
        <w:jc w:val="left"/>
      </w:pPr>
      <w:r>
        <w:tab/>
      </w:r>
      <w:r>
        <w:rPr>
          <w:rFonts w:ascii="" w:hAnsi="" w:eastAsia=""/>
          <w:b w:val="0"/>
          <w:i w:val="0"/>
          <w:color w:val="000000"/>
          <w:sz w:val="20"/>
        </w:rPr>
        <w:t xml:space="preserve">of project space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Investor concentration up to 70%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No more than 25% of the total units in the project may be 60 days or more past due on their </w:t>
      </w:r>
    </w:p>
    <w:p>
      <w:pPr>
        <w:autoSpaceDN w:val="0"/>
        <w:tabs>
          <w:tab w:pos="2520" w:val="left"/>
        </w:tabs>
        <w:autoSpaceDE w:val="0"/>
        <w:widowControl/>
        <w:spacing w:line="245" w:lineRule="auto" w:before="44" w:after="0"/>
        <w:ind w:left="2160" w:right="1728" w:firstLine="0"/>
        <w:jc w:val="left"/>
      </w:pPr>
      <w:r>
        <w:tab/>
      </w:r>
      <w:r>
        <w:rPr>
          <w:rFonts w:ascii="" w:hAnsi="" w:eastAsia=""/>
          <w:b w:val="0"/>
          <w:i w:val="0"/>
          <w:color w:val="000000"/>
          <w:sz w:val="20"/>
        </w:rPr>
        <w:t xml:space="preserve">condo/HOA dues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Properties with significant deferred maintenance or critical repairs must adhere to FNMA criteria </w:t>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Borrower must carry HO-6 coverage covering the replacement of items inside the unit. </w:t>
      </w:r>
    </w:p>
    <w:p>
      <w:pPr>
        <w:autoSpaceDN w:val="0"/>
        <w:tabs>
          <w:tab w:pos="2520" w:val="left"/>
        </w:tabs>
        <w:autoSpaceDE w:val="0"/>
        <w:widowControl/>
        <w:spacing w:line="226" w:lineRule="auto" w:before="14" w:after="0"/>
        <w:ind w:left="2160" w:right="0" w:firstLine="0"/>
        <w:jc w:val="left"/>
      </w:pP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If the project is in a flood zone requiring insurance (per FNMA), both the subject property and </w:t>
      </w:r>
    </w:p>
    <w:p>
      <w:pPr>
        <w:autoSpaceDN w:val="0"/>
        <w:tabs>
          <w:tab w:pos="2520" w:val="left"/>
        </w:tabs>
        <w:autoSpaceDE w:val="0"/>
        <w:widowControl/>
        <w:spacing w:line="245" w:lineRule="auto" w:before="46" w:after="0"/>
        <w:ind w:left="2160" w:right="1728" w:firstLine="0"/>
        <w:jc w:val="left"/>
      </w:pPr>
      <w:r>
        <w:tab/>
      </w:r>
      <w:r>
        <w:rPr>
          <w:rFonts w:ascii="" w:hAnsi="" w:eastAsia=""/>
          <w:b w:val="0"/>
          <w:i w:val="0"/>
          <w:color w:val="000000"/>
          <w:sz w:val="20"/>
        </w:rPr>
        <w:t xml:space="preserve">complex must have adequate flood insurance ­​Alpha Everest Capital will confirm that the project documents do not give a unit owner or any other party </w:t>
      </w:r>
      <w:r>
        <w:br/>
      </w:r>
      <w:r>
        <w:rPr>
          <w:rFonts w:ascii="" w:hAnsi="" w:eastAsia=""/>
          <w:b w:val="0"/>
          <w:i w:val="0"/>
          <w:color w:val="000000"/>
          <w:sz w:val="20"/>
        </w:rPr>
        <w:t/>
      </w:r>
      <w:r>
        <w:rPr>
          <w:rFonts w:ascii="" w:hAnsi="" w:eastAsia=""/>
          <w:b w:val="0"/>
          <w:i w:val="0"/>
          <w:color w:val="000000"/>
          <w:sz w:val="20"/>
        </w:rPr>
        <w:t/>
      </w:r>
      <w:r>
        <w:tab/>
      </w:r>
      <w:r>
        <w:rPr>
          <w:rFonts w:ascii="" w:hAnsi="" w:eastAsia=""/>
          <w:b w:val="0"/>
          <w:i w:val="0"/>
          <w:color w:val="000000"/>
          <w:sz w:val="20"/>
        </w:rPr>
        <w:t xml:space="preserve"/>
      </w:r>
    </w:p>
    <w:p>
      <w:pPr>
        <w:autoSpaceDN w:val="0"/>
        <w:autoSpaceDE w:val="0"/>
        <w:widowControl/>
        <w:spacing w:line="197" w:lineRule="auto" w:before="44" w:after="0"/>
        <w:ind w:left="2520" w:right="0" w:firstLine="0"/>
        <w:jc w:val="left"/>
      </w:pPr>
      <w:r>
        <w:rPr>
          <w:rFonts w:ascii="" w:hAnsi="" w:eastAsia=""/>
          <w:b w:val="0"/>
          <w:i w:val="0"/>
          <w:color w:val="000000"/>
          <w:sz w:val="20"/>
        </w:rPr>
        <w:t xml:space="preserve">priority over the rights of the first mortgagee, such as right of first refusal. </w:t>
      </w:r>
    </w:p>
    <w:p>
      <w:pPr>
        <w:autoSpaceDN w:val="0"/>
        <w:tabs>
          <w:tab w:pos="2520" w:val="left"/>
        </w:tabs>
        <w:autoSpaceDE w:val="0"/>
        <w:widowControl/>
        <w:spacing w:line="245" w:lineRule="auto" w:before="12" w:after="0"/>
        <w:ind w:left="2160" w:right="4176" w:firstLine="0"/>
        <w:jc w:val="left"/>
      </w:pP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Mandatory dues are not allowed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All common areas must be 100% complete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HOA should be in control by unit owners </w:t>
      </w:r>
      <w:r>
        <w:br/>
      </w: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HOA reserves must demonstrate a minimum of 10% of the budget. </w:t>
      </w:r>
    </w:p>
    <w:p>
      <w:pPr>
        <w:autoSpaceDN w:val="0"/>
        <w:tabs>
          <w:tab w:pos="2520" w:val="left"/>
          <w:tab w:pos="2880" w:val="left"/>
          <w:tab w:pos="3240" w:val="left"/>
        </w:tabs>
        <w:autoSpaceDE w:val="0"/>
        <w:widowControl/>
        <w:spacing w:line="245" w:lineRule="auto" w:before="12" w:after="0"/>
        <w:ind w:left="2160" w:right="1872" w:firstLine="0"/>
        <w:jc w:val="left"/>
      </w:pPr>
      <w:r>
        <w:rPr>
          <w:rFonts w:ascii="" w:hAnsi="" w:eastAsia=""/>
          <w:b w:val="0"/>
          <w:i w:val="0"/>
          <w:color w:val="000000"/>
          <w:sz w:val="20"/>
        </w:rPr>
        <w:t>­</w:t>
      </w:r>
      <w:r>
        <w:rPr>
          <w:rFonts w:ascii="" w:hAnsi="" w:eastAsia=""/>
          <w:b w:val="0"/>
          <w:i w:val="0"/>
          <w:color w:val="000000"/>
          <w:sz w:val="20"/>
        </w:rPr>
        <w:t>​</w:t>
      </w:r>
      <w:r>
        <w:tab/>
      </w:r>
      <w:r>
        <w:rPr>
          <w:rFonts w:ascii="" w:hAnsi="" w:eastAsia=""/>
          <w:b w:val="0"/>
          <w:i w:val="0"/>
          <w:color w:val="000000"/>
          <w:sz w:val="20"/>
        </w:rPr>
        <w:t xml:space="preserve">Projects involved in litigation are acceptable if the pending lawsuit(s) are not </w:t>
      </w:r>
      <w:r>
        <w:br/>
      </w:r>
      <w:r>
        <w:tab/>
      </w:r>
      <w:r>
        <w:tab/>
      </w:r>
      <w:r>
        <w:rPr>
          <w:rFonts w:ascii="" w:hAnsi="" w:eastAsia=""/>
          <w:b w:val="0"/>
          <w:i w:val="0"/>
          <w:color w:val="000000"/>
          <w:sz w:val="20"/>
        </w:rPr>
        <w:t>a.</w:t>
      </w:r>
      <w:r>
        <w:rPr>
          <w:rFonts w:ascii="" w:hAnsi="" w:eastAsia=""/>
          <w:b w:val="0"/>
          <w:i w:val="0"/>
          <w:color w:val="000000"/>
          <w:sz w:val="20"/>
        </w:rPr>
        <w:t>​</w:t>
      </w:r>
      <w:r>
        <w:rPr>
          <w:rFonts w:ascii="" w:hAnsi="" w:eastAsia=""/>
          <w:b w:val="0"/>
          <w:i w:val="0"/>
          <w:color w:val="000000"/>
          <w:sz w:val="20"/>
        </w:rPr>
        <w:t xml:space="preserve">structural in nature </w:t>
      </w:r>
      <w:r>
        <w:br/>
      </w:r>
      <w:r>
        <w:tab/>
      </w:r>
      <w:r>
        <w:tab/>
      </w:r>
      <w:r>
        <w:rPr>
          <w:rFonts w:ascii="" w:hAnsi="" w:eastAsia=""/>
          <w:b w:val="0"/>
          <w:i w:val="0"/>
          <w:color w:val="000000"/>
          <w:sz w:val="20"/>
        </w:rPr>
        <w:t>b.</w:t>
      </w:r>
      <w:r>
        <w:rPr>
          <w:rFonts w:ascii="" w:hAnsi="" w:eastAsia=""/>
          <w:b w:val="0"/>
          <w:i w:val="0"/>
          <w:color w:val="000000"/>
          <w:sz w:val="20"/>
        </w:rPr>
        <w:t>​</w:t>
      </w:r>
      <w:r>
        <w:rPr>
          <w:rFonts w:ascii="" w:hAnsi="" w:eastAsia=""/>
          <w:b w:val="0"/>
          <w:i w:val="0"/>
          <w:color w:val="000000"/>
          <w:sz w:val="20"/>
        </w:rPr>
        <w:t xml:space="preserve">do not affect marketability of the units </w:t>
      </w:r>
      <w:r>
        <w:br/>
      </w:r>
      <w:r>
        <w:tab/>
      </w:r>
      <w:r>
        <w:tab/>
      </w:r>
      <w:r>
        <w:rPr>
          <w:rFonts w:ascii="" w:hAnsi="" w:eastAsia=""/>
          <w:b w:val="0"/>
          <w:i w:val="0"/>
          <w:color w:val="000000"/>
          <w:sz w:val="20"/>
        </w:rPr>
        <w:t>c.</w:t>
      </w:r>
      <w:r>
        <w:rPr>
          <w:rFonts w:ascii="" w:hAnsi="" w:eastAsia=""/>
          <w:b w:val="0"/>
          <w:i w:val="0"/>
          <w:color w:val="000000"/>
          <w:sz w:val="20"/>
        </w:rPr>
        <w:t>​</w:t>
      </w:r>
      <w:r>
        <w:tab/>
      </w:r>
      <w:r>
        <w:rPr>
          <w:rFonts w:ascii="" w:hAnsi="" w:eastAsia=""/>
          <w:b w:val="0"/>
          <w:i w:val="0"/>
          <w:color w:val="000000"/>
          <w:sz w:val="20"/>
        </w:rPr>
        <w:t xml:space="preserve">Potential for damages do not exceed 25% of the HOA reserves OR with documentation </w:t>
      </w:r>
    </w:p>
    <w:p>
      <w:pPr>
        <w:autoSpaceDN w:val="0"/>
        <w:autoSpaceDE w:val="0"/>
        <w:widowControl/>
        <w:spacing w:line="197" w:lineRule="auto" w:before="44" w:after="0"/>
        <w:ind w:left="0" w:right="1618" w:firstLine="0"/>
        <w:jc w:val="right"/>
      </w:pPr>
      <w:r>
        <w:rPr>
          <w:rFonts w:ascii="" w:hAnsi="" w:eastAsia=""/>
          <w:b w:val="0"/>
          <w:i w:val="0"/>
          <w:color w:val="000000"/>
          <w:sz w:val="20"/>
        </w:rPr>
        <w:t xml:space="preserve">from the insurance carrier and attorney representing the HOA or insurance carrier that the </w:t>
      </w:r>
    </w:p>
    <w:p>
      <w:pPr>
        <w:autoSpaceDN w:val="0"/>
        <w:autoSpaceDE w:val="0"/>
        <w:widowControl/>
        <w:spacing w:line="197" w:lineRule="auto" w:before="44" w:after="0"/>
        <w:ind w:left="0" w:right="2048" w:firstLine="0"/>
        <w:jc w:val="right"/>
      </w:pPr>
      <w:r>
        <w:rPr>
          <w:rFonts w:ascii="" w:hAnsi="" w:eastAsia=""/>
          <w:b w:val="0"/>
          <w:i w:val="0"/>
          <w:color w:val="000000"/>
          <w:sz w:val="20"/>
        </w:rPr>
        <w:t xml:space="preserve">insurance carrier has agreed to provide the defense and the association’s insurance is </w:t>
      </w:r>
    </w:p>
    <w:p>
      <w:pPr>
        <w:autoSpaceDN w:val="0"/>
        <w:autoSpaceDE w:val="0"/>
        <w:widowControl/>
        <w:spacing w:line="197" w:lineRule="auto" w:before="44" w:after="0"/>
        <w:ind w:left="0" w:right="6426" w:firstLine="0"/>
        <w:jc w:val="right"/>
      </w:pPr>
      <w:r>
        <w:rPr>
          <w:rFonts w:ascii="" w:hAnsi="" w:eastAsia=""/>
          <w:b w:val="0"/>
          <w:i w:val="0"/>
          <w:color w:val="000000"/>
          <w:sz w:val="20"/>
        </w:rPr>
        <w:t xml:space="preserve">sufficient to cover the litigation </w:t>
      </w:r>
    </w:p>
    <w:p>
      <w:pPr>
        <w:autoSpaceDN w:val="0"/>
        <w:autoSpaceDE w:val="0"/>
        <w:widowControl/>
        <w:spacing w:line="197" w:lineRule="auto" w:before="316" w:after="0"/>
        <w:ind w:left="1590" w:right="0" w:firstLine="0"/>
        <w:jc w:val="left"/>
      </w:pPr>
      <w:r>
        <w:rPr>
          <w:rFonts w:ascii="" w:hAnsi="" w:eastAsia=""/>
          <w:b/>
          <w:i w:val="0"/>
          <w:color w:val="548DD4"/>
          <w:sz w:val="32"/>
        </w:rPr>
        <w:t xml:space="preserve">10. Additional Guideline Requirements </w:t>
      </w:r>
    </w:p>
    <w:p>
      <w:pPr>
        <w:autoSpaceDN w:val="0"/>
        <w:autoSpaceDE w:val="0"/>
        <w:widowControl/>
        <w:spacing w:line="218" w:lineRule="auto" w:before="924" w:after="0"/>
        <w:ind w:left="0" w:right="0" w:firstLine="0"/>
        <w:jc w:val="center"/>
      </w:pPr>
      <w:r>
        <w:rPr>
          <w:rFonts w:ascii="" w:hAnsi="" w:eastAsia=""/>
          <w:b w:val="0"/>
          <w:i w:val="0"/>
          <w:color w:val="4F81BD"/>
          <w:sz w:val="22"/>
        </w:rPr>
        <w:t xml:space="preserve">12 </w:t>
      </w:r>
    </w:p>
    <w:p>
      <w:pPr>
        <w:sectPr>
          <w:pgSz w:w="12240" w:h="15840"/>
          <w:pgMar w:top="0" w:right="0" w:bottom="0" w:left="0" w:header="720" w:footer="720" w:gutter="0"/>
          <w:cols/>
          <w:docGrid w:linePitch="360"/>
        </w:sectPr>
      </w:pPr>
    </w:p>
    <w:p>
      <w:pPr>
        <w:autoSpaceDN w:val="0"/>
        <w:tabs>
          <w:tab w:pos="1800" w:val="left"/>
          <w:tab w:pos="2160" w:val="left"/>
        </w:tabs>
        <w:autoSpaceDE w:val="0"/>
        <w:widowControl/>
        <w:spacing w:line="245" w:lineRule="auto" w:before="1490" w:after="0"/>
        <w:ind w:left="1590" w:right="1584" w:firstLine="0"/>
        <w:jc w:val="left"/>
      </w:pPr>
      <w:r>
        <w:rPr>
          <w:rFonts w:ascii="" w:hAnsi="" w:eastAsia=""/>
          <w:b/>
          <w:i w:val="0"/>
          <w:color w:val="000000"/>
          <w:sz w:val="23"/>
        </w:rPr>
        <w:t xml:space="preserve">10.1 High Cost </w:t>
      </w:r>
      <w:r>
        <w:br/>
      </w:r>
      <w:r>
        <w:tab/>
      </w:r>
      <w:r>
        <w:rPr>
          <w:rFonts w:ascii="" w:hAnsi="" w:eastAsia=""/>
          <w:b w:val="0"/>
          <w:i w:val="0"/>
          <w:color w:val="000000"/>
          <w:sz w:val="20"/>
        </w:rPr>
        <w:t>▪​</w:t>
      </w:r>
      <w:r>
        <w:tab/>
      </w:r>
      <w:r>
        <w:rPr>
          <w:rFonts w:ascii="" w:hAnsi="" w:eastAsia=""/>
          <w:b w:val="0"/>
          <w:i w:val="0"/>
          <w:color w:val="000000"/>
          <w:sz w:val="20"/>
        </w:rPr>
        <w:t xml:space="preserve">Federal, State, and Local High-Cost Loans are not permitted. Cured High-Cost loans are also not eligible </w:t>
      </w:r>
    </w:p>
    <w:p>
      <w:pPr>
        <w:autoSpaceDN w:val="0"/>
        <w:tabs>
          <w:tab w:pos="1800" w:val="left"/>
          <w:tab w:pos="2160" w:val="left"/>
        </w:tabs>
        <w:autoSpaceDE w:val="0"/>
        <w:widowControl/>
        <w:spacing w:line="245" w:lineRule="auto" w:before="296" w:after="0"/>
        <w:ind w:left="1590" w:right="1584" w:firstLine="0"/>
        <w:jc w:val="left"/>
      </w:pPr>
      <w:r>
        <w:rPr>
          <w:rFonts w:ascii="" w:hAnsi="" w:eastAsia=""/>
          <w:b/>
          <w:i w:val="0"/>
          <w:color w:val="000000"/>
          <w:sz w:val="23"/>
        </w:rPr>
        <w:t xml:space="preserve">10.2 Fraud ▪​Alpha Everest Capital has a zero-tolerance policy as it related to fraud. A fraud prevention pull is required from Xactus </w:t>
      </w:r>
      <w:r>
        <w:br/>
      </w:r>
      <w:r>
        <w:tab/>
      </w:r>
      <w:r>
        <w:rPr>
          <w:rFonts w:ascii="" w:hAnsi="" w:eastAsia=""/>
          <w:b w:val="0"/>
          <w:i w:val="0"/>
          <w:color w:val="000000"/>
          <w:sz w:val="20"/>
        </w:rPr>
        <w:t/>
      </w:r>
      <w:r>
        <w:tab/>
      </w:r>
      <w:r>
        <w:rPr>
          <w:rFonts w:ascii="" w:hAnsi="" w:eastAsia=""/>
          <w:b w:val="0"/>
          <w:i w:val="0"/>
          <w:color w:val="000000"/>
          <w:sz w:val="20"/>
        </w:rPr>
        <w:t xml:space="preserve"/>
      </w:r>
      <w:r>
        <w:tab/>
      </w:r>
      <w:r>
        <w:tab/>
      </w:r>
      <w:r>
        <w:rPr>
          <w:rFonts w:ascii="" w:hAnsi="" w:eastAsia=""/>
          <w:b w:val="0"/>
          <w:i w:val="0"/>
          <w:color w:val="000000"/>
          <w:sz w:val="20"/>
        </w:rPr>
        <w:t xml:space="preserve"/>
      </w:r>
    </w:p>
    <w:p>
      <w:pPr>
        <w:autoSpaceDN w:val="0"/>
        <w:tabs>
          <w:tab w:pos="1800" w:val="left"/>
          <w:tab w:pos="2160" w:val="left"/>
        </w:tabs>
        <w:autoSpaceDE w:val="0"/>
        <w:widowControl/>
        <w:spacing w:line="245" w:lineRule="auto" w:before="294" w:after="0"/>
        <w:ind w:left="1590" w:right="1728" w:firstLine="0"/>
        <w:jc w:val="left"/>
      </w:pPr>
      <w:r>
        <w:rPr>
          <w:rFonts w:ascii="" w:hAnsi="" w:eastAsia=""/>
          <w:b/>
          <w:i w:val="0"/>
          <w:color w:val="000000"/>
          <w:sz w:val="23"/>
        </w:rPr>
        <w:t xml:space="preserve">10.3 Escrows </w:t>
      </w:r>
      <w:r>
        <w:br/>
      </w:r>
      <w:r>
        <w:tab/>
      </w:r>
      <w:r>
        <w:rPr>
          <w:rFonts w:ascii="" w:hAnsi="" w:eastAsia=""/>
          <w:b w:val="0"/>
          <w:i w:val="0"/>
          <w:color w:val="000000"/>
          <w:sz w:val="20"/>
        </w:rPr>
        <w:t>▪​</w:t>
      </w:r>
      <w:r>
        <w:tab/>
      </w:r>
      <w:r>
        <w:rPr>
          <w:rFonts w:ascii="" w:hAnsi="" w:eastAsia=""/>
          <w:b w:val="0"/>
          <w:i w:val="0"/>
          <w:color w:val="000000"/>
          <w:sz w:val="20"/>
        </w:rPr>
        <w:t xml:space="preserve">Mandatory escrows for taxes and insurance must be required for all loans with LTV of 80% or greater; </w:t>
      </w:r>
      <w:r>
        <w:tab/>
      </w:r>
      <w:r>
        <w:tab/>
      </w:r>
      <w:r>
        <w:rPr>
          <w:rFonts w:ascii="" w:hAnsi="" w:eastAsia=""/>
          <w:b w:val="0"/>
          <w:i w:val="0"/>
          <w:color w:val="000000"/>
          <w:sz w:val="20"/>
        </w:rPr>
        <w:t xml:space="preserve">borrowers with LTV below 80% may elect to waive escrows </w:t>
      </w:r>
    </w:p>
    <w:p>
      <w:pPr>
        <w:autoSpaceDN w:val="0"/>
        <w:tabs>
          <w:tab w:pos="1800" w:val="left"/>
          <w:tab w:pos="2160" w:val="left"/>
        </w:tabs>
        <w:autoSpaceDE w:val="0"/>
        <w:widowControl/>
        <w:spacing w:line="245" w:lineRule="auto" w:before="294" w:after="0"/>
        <w:ind w:left="1590" w:right="7200" w:firstLine="0"/>
        <w:jc w:val="left"/>
      </w:pPr>
      <w:r>
        <w:rPr>
          <w:rFonts w:ascii="" w:hAnsi="" w:eastAsia=""/>
          <w:b/>
          <w:i w:val="0"/>
          <w:color w:val="000000"/>
          <w:sz w:val="23"/>
        </w:rPr>
        <w:t xml:space="preserve">10.4 Assumability </w:t>
      </w:r>
      <w:r>
        <w:br/>
      </w:r>
      <w:r>
        <w:tab/>
      </w:r>
      <w:r>
        <w:rPr>
          <w:rFonts w:ascii="" w:hAnsi="" w:eastAsia=""/>
          <w:b w:val="0"/>
          <w:i w:val="0"/>
          <w:color w:val="000000"/>
          <w:sz w:val="20"/>
        </w:rPr>
        <w:t>▪​</w:t>
      </w:r>
      <w:r>
        <w:tab/>
      </w:r>
      <w:r>
        <w:rPr>
          <w:rFonts w:ascii="" w:hAnsi="" w:eastAsia=""/>
          <w:b w:val="0"/>
          <w:i w:val="0"/>
          <w:color w:val="000000"/>
          <w:sz w:val="20"/>
        </w:rPr>
        <w:t xml:space="preserve">No assumable loans are accepted </w:t>
      </w:r>
    </w:p>
    <w:p>
      <w:pPr>
        <w:autoSpaceDN w:val="0"/>
        <w:autoSpaceDE w:val="0"/>
        <w:widowControl/>
        <w:spacing w:line="197" w:lineRule="auto" w:before="296" w:after="6"/>
        <w:ind w:left="1590" w:right="0" w:firstLine="0"/>
        <w:jc w:val="left"/>
      </w:pPr>
      <w:r>
        <w:rPr>
          <w:rFonts w:ascii="" w:hAnsi="" w:eastAsia=""/>
          <w:b/>
          <w:i w:val="0"/>
          <w:color w:val="000000"/>
          <w:sz w:val="23"/>
        </w:rPr>
        <w:t xml:space="preserve">10.5 Power of Attorney </w:t>
      </w:r>
    </w:p>
    <w:tbl>
      <w:tblPr>
        <w:tblW w:type="auto" w:w="0"/>
        <w:tblLayout w:type="fixed"/>
        <w:tblLook w:firstColumn="1" w:firstRow="1" w:lastColumn="0" w:lastRow="0" w:noHBand="0" w:noVBand="1" w:val="04A0"/>
        <w:tblInd w:w="900.0" w:type="dxa"/>
      </w:tblPr>
      <w:tblGrid>
        <w:gridCol w:w="3120"/>
        <w:gridCol w:w="3120"/>
        <w:gridCol w:w="3120"/>
      </w:tblGrid>
      <w:tr>
        <w:trPr>
          <w:trHeight w:hRule="exact" w:val="228"/>
        </w:trPr>
        <w:tc>
          <w:tcPr>
            <w:tcW w:type="dxa" w:w="1140"/>
            <w:vMerge w:val="restart"/>
            <w:tcBorders/>
            <w:shd w:fill="ffffff"/>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21" w:lineRule="auto" w:before="6" w:after="0"/>
              <w:ind w:left="0" w:right="114" w:firstLine="0"/>
              <w:jc w:val="right"/>
            </w:pPr>
            <w:r>
              <w:rPr>
                <w:rFonts w:ascii="" w:hAnsi="" w:eastAsia=""/>
                <w:b w:val="0"/>
                <w:i w:val="0"/>
                <w:color w:val="000000"/>
                <w:sz w:val="20"/>
              </w:rPr>
              <w:t>▪​</w:t>
            </w:r>
          </w:p>
          <w:p>
            <w:pPr>
              <w:autoSpaceDN w:val="0"/>
              <w:autoSpaceDE w:val="0"/>
              <w:widowControl/>
              <w:spacing w:line="245" w:lineRule="auto" w:before="998" w:after="0"/>
              <w:ind w:left="900" w:right="114" w:firstLine="0"/>
              <w:jc w:val="both"/>
            </w:pPr>
            <w:r>
              <w:rPr>
                <w:rFonts w:ascii="" w:hAnsi="" w:eastAsia=""/>
                <w:b w:val="0"/>
                <w:i w:val="0"/>
                <w:color w:val="000000"/>
                <w:sz w:val="20"/>
              </w:rPr>
              <w:t>▪​</w:t>
            </w:r>
            <w:r>
              <w:br/>
            </w:r>
            <w:r>
              <w:rPr>
                <w:rFonts w:ascii="" w:hAnsi="" w:eastAsia=""/>
                <w:b w:val="0"/>
                <w:i w:val="0"/>
                <w:color w:val="000000"/>
                <w:sz w:val="20"/>
              </w:rPr>
              <w:t>▪​</w:t>
            </w:r>
            <w:r>
              <w:br/>
            </w:r>
            <w:r>
              <w:rPr>
                <w:rFonts w:ascii="" w:hAnsi="" w:eastAsia=""/>
                <w:b w:val="0"/>
                <w:i w:val="0"/>
                <w:color w:val="000000"/>
                <w:sz w:val="20"/>
              </w:rPr>
              <w:t>▪​</w:t>
            </w:r>
          </w:p>
        </w:tc>
        <w:tc>
          <w:tcPr>
            <w:tcW w:type="dxa" w:w="9220"/>
            <w:gridSpan w:val="2"/>
            <w:tcBorders/>
            <w:shd w:fill="ffffff"/>
            <w:tcMar>
              <w:start w:w="0" w:type="dxa"/>
              <w:end w:w="0" w:type="dxa"/>
            </w:tcMar>
            <w:tcMar>
              <w:start w:w="0" w:type="dxa"/>
              <w:end w:w="0" w:type="dxa"/>
            </w:tcMar>
          </w:tcPr>
          <w:p>
            <w:pPr>
              <w:autoSpaceDN w:val="0"/>
              <w:autoSpaceDE w:val="0"/>
              <w:widowControl/>
              <w:spacing w:line="197" w:lineRule="auto" w:before="28" w:after="0"/>
              <w:ind w:left="120" w:right="0" w:firstLine="0"/>
              <w:jc w:val="left"/>
            </w:pPr>
            <w:r>
              <w:rPr>
                <w:rFonts w:ascii="" w:hAnsi="" w:eastAsia=""/>
                <w:b w:val="0"/>
                <w:i w:val="0"/>
                <w:color w:val="000000"/>
                <w:sz w:val="20"/>
              </w:rPr>
              <w:t xml:space="preserve">A limited Power of Attorney is acceptable when all the following are met: </w:t>
            </w:r>
          </w:p>
        </w:tc>
      </w:tr>
      <w:tr>
        <w:trPr>
          <w:trHeight w:hRule="exact" w:val="26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22"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860"/>
            <w:tcBorders/>
            <w:shd w:fill="ffffff"/>
            <w:tcMar>
              <w:start w:w="0" w:type="dxa"/>
              <w:end w:w="0" w:type="dxa"/>
            </w:tcMar>
          </w:tcPr>
          <w:p>
            <w:pPr>
              <w:autoSpaceDN w:val="0"/>
              <w:autoSpaceDE w:val="0"/>
              <w:widowControl/>
              <w:spacing w:line="197" w:lineRule="auto" w:before="54" w:after="0"/>
              <w:ind w:left="196" w:right="0" w:firstLine="0"/>
              <w:jc w:val="left"/>
            </w:pPr>
            <w:r>
              <w:rPr>
                <w:rFonts w:ascii="" w:hAnsi="" w:eastAsia=""/>
                <w:b w:val="0"/>
                <w:i w:val="0"/>
                <w:color w:val="000000"/>
                <w:sz w:val="20"/>
              </w:rPr>
              <w:t xml:space="preserve">Specific to the transaction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6"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860"/>
            <w:tcBorders/>
            <w:shd w:fill="ffffff"/>
            <w:tcMar>
              <w:start w:w="0" w:type="dxa"/>
              <w:end w:w="0" w:type="dxa"/>
            </w:tcMar>
          </w:tcPr>
          <w:p>
            <w:pPr>
              <w:autoSpaceDN w:val="0"/>
              <w:autoSpaceDE w:val="0"/>
              <w:widowControl/>
              <w:spacing w:line="197" w:lineRule="auto" w:before="38" w:after="0"/>
              <w:ind w:left="196" w:right="0" w:firstLine="0"/>
              <w:jc w:val="left"/>
            </w:pPr>
            <w:r>
              <w:rPr>
                <w:rFonts w:ascii="" w:hAnsi="" w:eastAsia=""/>
                <w:b w:val="0"/>
                <w:i w:val="0"/>
                <w:color w:val="000000"/>
                <w:sz w:val="20"/>
              </w:rPr>
              <w:t xml:space="preserve">Recorded with the Mortgage / Deed of Trust </w:t>
            </w:r>
          </w:p>
        </w:tc>
      </w:tr>
      <w:tr>
        <w:trPr>
          <w:trHeight w:hRule="exact" w:val="24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8"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860"/>
            <w:tcBorders/>
            <w:shd w:fill="ffffff"/>
            <w:tcMar>
              <w:start w:w="0" w:type="dxa"/>
              <w:end w:w="0" w:type="dxa"/>
            </w:tcMar>
          </w:tcPr>
          <w:p>
            <w:pPr>
              <w:autoSpaceDN w:val="0"/>
              <w:autoSpaceDE w:val="0"/>
              <w:widowControl/>
              <w:spacing w:line="197" w:lineRule="auto" w:before="40" w:after="0"/>
              <w:ind w:left="196" w:right="0" w:firstLine="0"/>
              <w:jc w:val="left"/>
            </w:pPr>
            <w:r>
              <w:rPr>
                <w:rFonts w:ascii="" w:hAnsi="" w:eastAsia=""/>
                <w:b w:val="0"/>
                <w:i w:val="0"/>
                <w:color w:val="000000"/>
                <w:sz w:val="20"/>
              </w:rPr>
              <w:t xml:space="preserve">Contains an expiration date </w:t>
            </w:r>
          </w:p>
        </w:tc>
      </w:tr>
      <w:tr>
        <w:trPr>
          <w:trHeight w:hRule="exact" w:val="260"/>
        </w:trPr>
        <w:tc>
          <w:tcPr>
            <w:tcW w:type="dxa" w:w="3120"/>
            <w:vMerge/>
            <w:tcBorders/>
          </w:tcPr>
          <w:p/>
        </w:tc>
        <w:tc>
          <w:tcPr>
            <w:tcW w:type="dxa" w:w="360"/>
            <w:tcBorders/>
            <w:shd w:fill="ffffff"/>
            <w:tcMar>
              <w:start w:w="0" w:type="dxa"/>
              <w:end w:w="0" w:type="dxa"/>
            </w:tcMar>
          </w:tcPr>
          <w:p>
            <w:pPr>
              <w:autoSpaceDN w:val="0"/>
              <w:autoSpaceDE w:val="0"/>
              <w:widowControl/>
              <w:spacing w:line="228" w:lineRule="auto" w:before="14" w:after="0"/>
              <w:ind w:left="0" w:right="0" w:firstLine="0"/>
              <w:jc w:val="center"/>
            </w:pPr>
            <w:r>
              <w:rPr>
                <w:rFonts w:ascii="" w:hAnsi="" w:eastAsia=""/>
                <w:b w:val="0"/>
                <w:i w:val="0"/>
                <w:color w:val="000000"/>
                <w:sz w:val="20"/>
              </w:rPr>
              <w:t>­</w:t>
            </w:r>
            <w:r>
              <w:rPr>
                <w:rFonts w:ascii="" w:hAnsi="" w:eastAsia=""/>
                <w:b w:val="0"/>
                <w:i w:val="0"/>
                <w:color w:val="000000"/>
                <w:sz w:val="20"/>
              </w:rPr>
              <w:t>​</w:t>
            </w:r>
          </w:p>
        </w:tc>
        <w:tc>
          <w:tcPr>
            <w:tcW w:type="dxa" w:w="8860"/>
            <w:tcBorders/>
            <w:shd w:fill="ffffff"/>
            <w:tcMar>
              <w:start w:w="0" w:type="dxa"/>
              <w:end w:w="0" w:type="dxa"/>
            </w:tcMar>
          </w:tcPr>
          <w:p>
            <w:pPr>
              <w:autoSpaceDN w:val="0"/>
              <w:autoSpaceDE w:val="0"/>
              <w:widowControl/>
              <w:spacing w:line="197" w:lineRule="auto" w:before="46" w:after="0"/>
              <w:ind w:left="196" w:right="0" w:firstLine="0"/>
              <w:jc w:val="left"/>
            </w:pPr>
            <w:r>
              <w:rPr>
                <w:rFonts w:ascii="" w:hAnsi="" w:eastAsia=""/>
                <w:b w:val="0"/>
                <w:i w:val="0"/>
                <w:color w:val="000000"/>
                <w:sz w:val="20"/>
              </w:rPr>
              <w:t xml:space="preserve">Used to execute final loan documents only; borrower must have signed the initial application </w:t>
            </w:r>
          </w:p>
        </w:tc>
      </w:tr>
      <w:tr>
        <w:trPr>
          <w:trHeight w:hRule="exact" w:val="778"/>
        </w:trPr>
        <w:tc>
          <w:tcPr>
            <w:tcW w:type="dxa" w:w="3120"/>
            <w:vMerge/>
            <w:tcBorders/>
          </w:tcPr>
          <w:p/>
        </w:tc>
        <w:tc>
          <w:tcPr>
            <w:tcW w:type="dxa" w:w="9220"/>
            <w:gridSpan w:val="2"/>
            <w:tcBorders/>
            <w:shd w:fill="ffffff"/>
            <w:tcMar>
              <w:start w:w="0" w:type="dxa"/>
              <w:end w:w="0" w:type="dxa"/>
            </w:tcMar>
            <w:tcMar>
              <w:start w:w="0" w:type="dxa"/>
              <w:end w:w="0" w:type="dxa"/>
            </w:tcMar>
          </w:tcPr>
          <w:p>
            <w:pPr>
              <w:autoSpaceDN w:val="0"/>
              <w:autoSpaceDE w:val="0"/>
              <w:widowControl/>
              <w:spacing w:line="245" w:lineRule="auto" w:before="30" w:after="0"/>
              <w:ind w:left="120" w:right="864" w:firstLine="0"/>
              <w:jc w:val="left"/>
            </w:pPr>
            <w:r>
              <w:rPr>
                <w:rFonts w:ascii="" w:hAnsi="" w:eastAsia=""/>
                <w:b w:val="0"/>
                <w:i w:val="0"/>
                <w:color w:val="000000"/>
                <w:sz w:val="20"/>
              </w:rPr>
              <w:t xml:space="preserve">Interested parties (seller, broker, loan officer, realtor, partner, etc.) may not act as power of attorney </w:t>
            </w:r>
            <w:r>
              <w:rPr>
                <w:rFonts w:ascii="" w:hAnsi="" w:eastAsia=""/>
                <w:b w:val="0"/>
                <w:i w:val="0"/>
                <w:color w:val="000000"/>
                <w:sz w:val="20"/>
              </w:rPr>
              <w:t xml:space="preserve">Not eligible for cash-out transactions </w:t>
            </w:r>
            <w:r>
              <w:br/>
            </w:r>
            <w:r>
              <w:rPr>
                <w:rFonts w:ascii="" w:hAnsi="" w:eastAsia=""/>
                <w:b w:val="0"/>
                <w:i w:val="0"/>
                <w:color w:val="000000"/>
                <w:sz w:val="20"/>
              </w:rPr>
              <w:t xml:space="preserve">Exceptions may be considered on a case-by-case basis with underwriting approval </w:t>
            </w:r>
          </w:p>
        </w:tc>
      </w:tr>
    </w:tbl>
    <w:p>
      <w:pPr>
        <w:autoSpaceDN w:val="0"/>
        <w:autoSpaceDE w:val="0"/>
        <w:widowControl/>
        <w:spacing w:line="197" w:lineRule="auto" w:before="744" w:after="238"/>
        <w:ind w:left="1440" w:right="0" w:firstLine="0"/>
        <w:jc w:val="left"/>
      </w:pPr>
      <w:r>
        <w:rPr>
          <w:rFonts w:ascii="" w:hAnsi="" w:eastAsia=""/>
          <w:b/>
          <w:i w:val="0"/>
          <w:color w:val="548DD4"/>
          <w:sz w:val="32"/>
        </w:rPr>
        <w:t xml:space="preserve">11. Closing Timeline &amp; Process </w:t>
      </w:r>
    </w:p>
    <w:tbl>
      <w:tblPr>
        <w:tblW w:type="auto" w:w="0"/>
        <w:tblLayout w:type="fixed"/>
        <w:tblLook w:firstColumn="1" w:firstRow="1" w:lastColumn="0" w:lastRow="0" w:noHBand="0" w:noVBand="1" w:val="04A0"/>
        <w:tblInd w:w="1510.0" w:type="dxa"/>
      </w:tblPr>
      <w:tblGrid>
        <w:gridCol w:w="3120"/>
        <w:gridCol w:w="3120"/>
        <w:gridCol w:w="3120"/>
      </w:tblGrid>
      <w:tr>
        <w:trPr>
          <w:trHeight w:hRule="exact" w:val="260"/>
        </w:trPr>
        <w:tc>
          <w:tcPr>
            <w:tcW w:type="dxa" w:w="10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i w:val="0"/>
                <w:color w:val="000000"/>
                <w:sz w:val="20"/>
              </w:rPr>
              <w:t xml:space="preserve">Day </w:t>
            </w:r>
          </w:p>
        </w:tc>
        <w:tc>
          <w:tcPr>
            <w:tcW w:type="dxa" w:w="53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i w:val="0"/>
                <w:color w:val="000000"/>
                <w:sz w:val="20"/>
              </w:rPr>
              <w:t xml:space="preserve">Milestone </w:t>
            </w:r>
          </w:p>
        </w:tc>
        <w:tc>
          <w:tcPr>
            <w:tcW w:type="dxa" w:w="27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i w:val="0"/>
                <w:color w:val="000000"/>
                <w:sz w:val="20"/>
              </w:rPr>
              <w:t xml:space="preserve">Responsible Party </w:t>
            </w:r>
          </w:p>
        </w:tc>
      </w:tr>
      <w:tr>
        <w:trPr>
          <w:trHeight w:hRule="exact" w:val="260"/>
        </w:trPr>
        <w:tc>
          <w:tcPr>
            <w:tcW w:type="dxa" w:w="10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Day 1 </w:t>
            </w:r>
          </w:p>
        </w:tc>
        <w:tc>
          <w:tcPr>
            <w:tcW w:type="dxa" w:w="53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Application submission and term sheet issuance </w:t>
            </w:r>
          </w:p>
        </w:tc>
        <w:tc>
          <w:tcPr>
            <w:tcW w:type="dxa" w:w="27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Borrower / Lender </w:t>
            </w:r>
          </w:p>
        </w:tc>
      </w:tr>
      <w:tr>
        <w:trPr>
          <w:trHeight w:hRule="exact" w:val="260"/>
        </w:trPr>
        <w:tc>
          <w:tcPr>
            <w:tcW w:type="dxa" w:w="10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Day 1–2 </w:t>
            </w:r>
          </w:p>
        </w:tc>
        <w:tc>
          <w:tcPr>
            <w:tcW w:type="dxa" w:w="53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Term sheet executed; appraisal and title ordered </w:t>
            </w:r>
          </w:p>
        </w:tc>
        <w:tc>
          <w:tcPr>
            <w:tcW w:type="dxa" w:w="27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Lender </w:t>
            </w:r>
          </w:p>
        </w:tc>
      </w:tr>
      <w:tr>
        <w:trPr>
          <w:trHeight w:hRule="exact" w:val="260"/>
        </w:trPr>
        <w:tc>
          <w:tcPr>
            <w:tcW w:type="dxa" w:w="10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Day 2 </w:t>
            </w:r>
          </w:p>
        </w:tc>
        <w:tc>
          <w:tcPr>
            <w:tcW w:type="dxa" w:w="53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Borrower submits documentation package </w:t>
            </w:r>
          </w:p>
        </w:tc>
        <w:tc>
          <w:tcPr>
            <w:tcW w:type="dxa" w:w="27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Borrower </w:t>
            </w:r>
          </w:p>
        </w:tc>
      </w:tr>
      <w:tr>
        <w:trPr>
          <w:trHeight w:hRule="exact" w:val="260"/>
        </w:trPr>
        <w:tc>
          <w:tcPr>
            <w:tcW w:type="dxa" w:w="10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Day 2–4 </w:t>
            </w:r>
          </w:p>
        </w:tc>
        <w:tc>
          <w:tcPr>
            <w:tcW w:type="dxa" w:w="53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Underwriting review and conditional approval </w:t>
            </w:r>
          </w:p>
        </w:tc>
        <w:tc>
          <w:tcPr>
            <w:tcW w:type="dxa" w:w="27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Lender </w:t>
            </w:r>
          </w:p>
        </w:tc>
      </w:tr>
      <w:tr>
        <w:trPr>
          <w:trHeight w:hRule="exact" w:val="260"/>
        </w:trPr>
        <w:tc>
          <w:tcPr>
            <w:tcW w:type="dxa" w:w="10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Day 5–8 </w:t>
            </w:r>
          </w:p>
        </w:tc>
        <w:tc>
          <w:tcPr>
            <w:tcW w:type="dxa" w:w="53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Appraisal and title received; final approval; QC </w:t>
            </w:r>
          </w:p>
        </w:tc>
        <w:tc>
          <w:tcPr>
            <w:tcW w:type="dxa" w:w="27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Lender / AMC </w:t>
            </w:r>
          </w:p>
        </w:tc>
      </w:tr>
      <w:tr>
        <w:trPr>
          <w:trHeight w:hRule="exact" w:val="240"/>
        </w:trPr>
        <w:tc>
          <w:tcPr>
            <w:tcW w:type="dxa" w:w="10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20" w:after="0"/>
              <w:ind w:left="0" w:right="0" w:firstLine="0"/>
              <w:jc w:val="center"/>
            </w:pPr>
            <w:r>
              <w:rPr>
                <w:rFonts w:ascii="" w:hAnsi="" w:eastAsia=""/>
                <w:b w:val="0"/>
                <w:i w:val="0"/>
                <w:color w:val="000000"/>
                <w:sz w:val="20"/>
              </w:rPr>
              <w:t xml:space="preserve">Day 8-9 </w:t>
            </w:r>
          </w:p>
        </w:tc>
        <w:tc>
          <w:tcPr>
            <w:tcW w:type="dxa" w:w="53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20" w:after="0"/>
              <w:ind w:left="0" w:right="0" w:firstLine="0"/>
              <w:jc w:val="center"/>
            </w:pPr>
            <w:r>
              <w:rPr>
                <w:rFonts w:ascii="" w:hAnsi="" w:eastAsia=""/>
                <w:b w:val="0"/>
                <w:i w:val="0"/>
                <w:color w:val="000000"/>
                <w:sz w:val="20"/>
              </w:rPr>
              <w:t xml:space="preserve">Closing documents prepared and sent </w:t>
            </w:r>
          </w:p>
        </w:tc>
        <w:tc>
          <w:tcPr>
            <w:tcW w:type="dxa" w:w="27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20" w:after="0"/>
              <w:ind w:left="0" w:right="0" w:firstLine="0"/>
              <w:jc w:val="center"/>
            </w:pPr>
            <w:r>
              <w:rPr>
                <w:rFonts w:ascii="" w:hAnsi="" w:eastAsia=""/>
                <w:b w:val="0"/>
                <w:i w:val="0"/>
                <w:color w:val="000000"/>
                <w:sz w:val="20"/>
              </w:rPr>
              <w:t xml:space="preserve">Lender / Counsel </w:t>
            </w:r>
          </w:p>
        </w:tc>
      </w:tr>
      <w:tr>
        <w:trPr>
          <w:trHeight w:hRule="exact" w:val="260"/>
        </w:trPr>
        <w:tc>
          <w:tcPr>
            <w:tcW w:type="dxa" w:w="10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Day 10 </w:t>
            </w:r>
          </w:p>
        </w:tc>
        <w:tc>
          <w:tcPr>
            <w:tcW w:type="dxa" w:w="53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Closing, funding, and recording </w:t>
            </w:r>
          </w:p>
        </w:tc>
        <w:tc>
          <w:tcPr>
            <w:tcW w:type="dxa" w:w="27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20"/>
              </w:rPr>
              <w:t xml:space="preserve">Title / Settlement </w:t>
            </w:r>
          </w:p>
        </w:tc>
      </w:tr>
    </w:tbl>
    <w:p>
      <w:pPr>
        <w:autoSpaceDN w:val="0"/>
        <w:autoSpaceDE w:val="0"/>
        <w:widowControl/>
        <w:spacing w:line="245" w:lineRule="auto" w:before="474" w:after="0"/>
        <w:ind w:left="1440" w:right="1728" w:firstLine="0"/>
        <w:jc w:val="left"/>
      </w:pPr>
      <w:r>
        <w:rPr>
          <w:rFonts w:ascii="" w:hAnsi="" w:eastAsia=""/>
          <w:b/>
          <w:i w:val="0"/>
          <w:color w:val="548DD4"/>
          <w:sz w:val="32"/>
        </w:rPr>
        <w:t xml:space="preserve">12. DSCR Matrix </w:t>
      </w:r>
      <w:r>
        <w:br/>
      </w:r>
      <w:r>
        <w:rPr>
          <w:rFonts w:ascii="" w:hAnsi="" w:eastAsia=""/>
          <w:b w:val="0"/>
          <w:i w:val="0"/>
          <w:color w:val="000000"/>
          <w:sz w:val="20"/>
        </w:rPr>
        <w:t xml:space="preserve">The matrices below must be read in conjunction with program restrictions stated elsewhere in these guidelines </w:t>
      </w:r>
      <w:r>
        <w:rPr>
          <w:rFonts w:ascii="" w:hAnsi="" w:eastAsia=""/>
          <w:b w:val="0"/>
          <w:i w:val="0"/>
          <w:color w:val="000000"/>
          <w:sz w:val="20"/>
        </w:rPr>
        <w:t xml:space="preserve">— e.g., ITIN Borrowers (Max 70% LTV Purchase / 65% Refinance; Max loan $1,000,000; Min FICO 700), Foreign </w:t>
      </w:r>
      <w:r>
        <w:rPr>
          <w:rFonts w:ascii="" w:hAnsi="" w:eastAsia=""/>
          <w:b w:val="0"/>
          <w:i w:val="0"/>
          <w:color w:val="000000"/>
          <w:sz w:val="20"/>
        </w:rPr>
        <w:t xml:space="preserve">Nationals (Max 70% / 65% LTV; Max loan $1,000,000), Non-Permanent Resident Aliens (Max 75% LTV, No </w:t>
      </w:r>
      <w:r>
        <w:rPr>
          <w:rFonts w:ascii="" w:hAnsi="" w:eastAsia=""/>
          <w:b w:val="0"/>
          <w:i w:val="0"/>
          <w:color w:val="000000"/>
          <w:sz w:val="20"/>
        </w:rPr>
        <w:t xml:space="preserve">Cash-Out). </w:t>
      </w:r>
    </w:p>
    <w:p>
      <w:pPr>
        <w:autoSpaceDN w:val="0"/>
        <w:autoSpaceDE w:val="0"/>
        <w:widowControl/>
        <w:spacing w:line="228" w:lineRule="auto" w:before="258" w:after="0"/>
        <w:ind w:left="1440" w:right="0" w:firstLine="0"/>
        <w:jc w:val="left"/>
      </w:pPr>
      <w:r>
        <w:rPr>
          <w:rFonts w:ascii="" w:hAnsi="" w:eastAsia=""/>
          <w:b/>
          <w:i w:val="0"/>
          <w:color w:val="000000"/>
          <w:sz w:val="23"/>
        </w:rPr>
        <w:t xml:space="preserve">Loan </w:t>
      </w:r>
      <w:r>
        <w:rPr>
          <w:rFonts w:ascii="" w:hAnsi="" w:eastAsia=""/>
          <w:b/>
          <w:i w:val="0"/>
          <w:color w:val="000000"/>
          <w:sz w:val="23"/>
        </w:rPr>
        <w:t>≤</w:t>
      </w:r>
      <w:r>
        <w:rPr>
          <w:rFonts w:ascii="" w:hAnsi="" w:eastAsia=""/>
          <w:b/>
          <w:i w:val="0"/>
          <w:color w:val="000000"/>
          <w:sz w:val="23"/>
        </w:rPr>
        <w:t xml:space="preserve"> $1,000,000</w:t>
      </w:r>
    </w:p>
    <w:tbl>
      <w:tblPr>
        <w:tblW w:type="auto" w:w="0"/>
        <w:tblLayout w:type="fixed"/>
        <w:tblLook w:firstColumn="1" w:firstRow="1" w:lastColumn="0" w:lastRow="0" w:noHBand="0" w:noVBand="1" w:val="04A0"/>
        <w:tblInd w:w="1430.0" w:type="dxa"/>
      </w:tblPr>
      <w:tblGrid>
        <w:gridCol w:w="936"/>
        <w:gridCol w:w="936"/>
        <w:gridCol w:w="936"/>
        <w:gridCol w:w="936"/>
        <w:gridCol w:w="936"/>
        <w:gridCol w:w="936"/>
        <w:gridCol w:w="936"/>
        <w:gridCol w:w="936"/>
        <w:gridCol w:w="936"/>
        <w:gridCol w:w="936"/>
      </w:tblGrid>
      <w:tr>
        <w:trPr>
          <w:trHeight w:hRule="exact" w:val="420"/>
        </w:trPr>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144" w:after="0"/>
              <w:ind w:left="0" w:right="0" w:firstLine="0"/>
              <w:jc w:val="center"/>
            </w:pPr>
            <w:r>
              <w:rPr>
                <w:rFonts w:ascii="" w:hAnsi="" w:eastAsia=""/>
                <w:b/>
                <w:i w:val="0"/>
                <w:color w:val="000000"/>
                <w:sz w:val="16"/>
              </w:rPr>
              <w:t xml:space="preserve">FICO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0" w:after="0"/>
              <w:ind w:left="144" w:right="0" w:firstLine="0"/>
              <w:jc w:val="center"/>
            </w:pPr>
            <w:r>
              <w:rPr>
                <w:rFonts w:ascii="" w:hAnsi="" w:eastAsia=""/>
                <w:b/>
                <w:i w:val="0"/>
                <w:color w:val="000000"/>
                <w:sz w:val="16"/>
              </w:rPr>
              <w:t>≥</w:t>
            </w:r>
            <w:r>
              <w:rPr>
                <w:rFonts w:ascii="" w:hAnsi="" w:eastAsia=""/>
                <w:b/>
                <w:i w:val="0"/>
                <w:color w:val="000000"/>
                <w:sz w:val="16"/>
              </w:rPr>
              <w:t xml:space="preserve">1.0 </w:t>
            </w:r>
            <w:r>
              <w:br/>
            </w:r>
            <w:r>
              <w:rPr>
                <w:rFonts w:ascii="" w:hAnsi="" w:eastAsia=""/>
                <w:b/>
                <w:i w:val="0"/>
                <w:color w:val="000000"/>
                <w:sz w:val="16"/>
              </w:rPr>
              <w:t xml:space="preserve">Purchase </w:t>
            </w:r>
          </w:p>
        </w:tc>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26" w:lineRule="auto" w:before="120" w:after="0"/>
              <w:ind w:left="0" w:right="0" w:firstLine="0"/>
              <w:jc w:val="center"/>
            </w:pPr>
            <w:r>
              <w:rPr>
                <w:rFonts w:ascii="" w:hAnsi="" w:eastAsia=""/>
                <w:b/>
                <w:i w:val="0"/>
                <w:color w:val="000000"/>
                <w:sz w:val="16"/>
              </w:rPr>
              <w:t>≥</w:t>
            </w:r>
            <w:r>
              <w:rPr>
                <w:rFonts w:ascii="" w:hAnsi="" w:eastAsia=""/>
                <w:b/>
                <w:i w:val="0"/>
                <w:color w:val="000000"/>
                <w:sz w:val="16"/>
              </w:rPr>
              <w:t xml:space="preserve">1.0 R&amp;T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26" w:lineRule="auto" w:before="120" w:after="0"/>
              <w:ind w:left="0" w:right="0" w:firstLine="0"/>
              <w:jc w:val="center"/>
            </w:pPr>
            <w:r>
              <w:rPr>
                <w:rFonts w:ascii="" w:hAnsi="" w:eastAsia=""/>
                <w:b/>
                <w:i w:val="0"/>
                <w:color w:val="000000"/>
                <w:sz w:val="16"/>
              </w:rPr>
              <w:t>≥</w:t>
            </w:r>
            <w:r>
              <w:rPr>
                <w:rFonts w:ascii="" w:hAnsi="" w:eastAsia=""/>
                <w:b/>
                <w:i w:val="0"/>
                <w:color w:val="000000"/>
                <w:sz w:val="16"/>
              </w:rPr>
              <w:t xml:space="preserve">1.0 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R&amp;T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R&amp;T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C/O </w:t>
            </w:r>
          </w:p>
        </w:tc>
      </w:tr>
      <w:tr>
        <w:trPr>
          <w:trHeight w:hRule="exact" w:val="240"/>
        </w:trPr>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700+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80% </w:t>
            </w:r>
          </w:p>
        </w:tc>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80%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70% </w:t>
            </w:r>
          </w:p>
        </w:tc>
      </w:tr>
      <w:tr>
        <w:trPr>
          <w:trHeight w:hRule="exact" w:val="240"/>
        </w:trPr>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680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70% </w:t>
            </w:r>
          </w:p>
        </w:tc>
      </w:tr>
      <w:tr>
        <w:trPr>
          <w:trHeight w:hRule="exact" w:val="240"/>
        </w:trPr>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660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60% </w:t>
            </w:r>
          </w:p>
        </w:tc>
      </w:tr>
      <w:tr>
        <w:trPr>
          <w:trHeight w:hRule="exact" w:val="240"/>
        </w:trPr>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640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75%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8" w:after="0"/>
              <w:ind w:left="0" w:right="0" w:firstLine="0"/>
              <w:jc w:val="center"/>
            </w:pPr>
            <w:r>
              <w:rPr>
                <w:rFonts w:ascii="" w:hAnsi="" w:eastAsia=""/>
                <w:b w:val="0"/>
                <w:i w:val="0"/>
                <w:color w:val="000000"/>
                <w:sz w:val="16"/>
              </w:rPr>
              <w:t xml:space="preserve">60% </w:t>
            </w:r>
          </w:p>
        </w:tc>
      </w:tr>
    </w:tbl>
    <w:p>
      <w:pPr>
        <w:autoSpaceDN w:val="0"/>
        <w:autoSpaceDE w:val="0"/>
        <w:widowControl/>
        <w:spacing w:line="218" w:lineRule="auto" w:before="602" w:after="0"/>
        <w:ind w:left="0" w:right="0" w:firstLine="0"/>
        <w:jc w:val="center"/>
      </w:pPr>
      <w:r>
        <w:rPr>
          <w:rFonts w:ascii="" w:hAnsi="" w:eastAsia=""/>
          <w:b w:val="0"/>
          <w:i w:val="0"/>
          <w:color w:val="4F81BD"/>
          <w:sz w:val="22"/>
        </w:rPr>
        <w:t xml:space="preserve">13 </w:t>
      </w:r>
    </w:p>
    <w:p>
      <w:pPr>
        <w:sectPr>
          <w:pgSz w:w="12240" w:h="15840"/>
          <w:pgMar w:top="0" w:right="0" w:bottom="0" w:left="0" w:header="720" w:footer="720" w:gutter="0"/>
          <w:cols/>
          <w:docGrid w:linePitch="360"/>
        </w:sectPr>
      </w:pPr>
    </w:p>
    <w:p>
      <w:pPr>
        <w:autoSpaceDN w:val="0"/>
        <w:autoSpaceDE w:val="0"/>
        <w:widowControl/>
        <w:spacing w:line="1820" w:lineRule="exact" w:before="0" w:after="0"/>
        <w:ind w:left="0" w:right="0"/>
      </w:pPr>
    </w:p>
    <w:tbl>
      <w:tblPr>
        <w:tblW w:type="auto" w:w="0"/>
        <w:tblLayout w:type="fixed"/>
        <w:tblLook w:firstColumn="1" w:firstRow="1" w:lastColumn="0" w:lastRow="0" w:noHBand="0" w:noVBand="1" w:val="04A0"/>
        <w:tblInd w:w="1430.0" w:type="dxa"/>
      </w:tblPr>
      <w:tblGrid>
        <w:gridCol w:w="936"/>
        <w:gridCol w:w="936"/>
        <w:gridCol w:w="936"/>
        <w:gridCol w:w="936"/>
        <w:gridCol w:w="936"/>
        <w:gridCol w:w="936"/>
        <w:gridCol w:w="936"/>
        <w:gridCol w:w="936"/>
        <w:gridCol w:w="936"/>
        <w:gridCol w:w="936"/>
      </w:tblGrid>
      <w:tr>
        <w:trPr>
          <w:trHeight w:hRule="exact" w:val="400"/>
        </w:trPr>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128" w:after="0"/>
              <w:ind w:left="0" w:right="0" w:firstLine="0"/>
              <w:jc w:val="center"/>
            </w:pPr>
            <w:r>
              <w:rPr>
                <w:rFonts w:ascii="" w:hAnsi="" w:eastAsia=""/>
                <w:b/>
                <w:i w:val="0"/>
                <w:color w:val="000000"/>
                <w:sz w:val="16"/>
              </w:rPr>
              <w:t xml:space="preserve">FICO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0" w:after="0"/>
              <w:ind w:left="144" w:right="0" w:firstLine="0"/>
              <w:jc w:val="center"/>
            </w:pPr>
            <w:r>
              <w:rPr>
                <w:rFonts w:ascii="" w:hAnsi="" w:eastAsia=""/>
                <w:b/>
                <w:i w:val="0"/>
                <w:color w:val="000000"/>
                <w:sz w:val="16"/>
              </w:rPr>
              <w:t>≥</w:t>
            </w:r>
            <w:r>
              <w:rPr>
                <w:rFonts w:ascii="" w:hAnsi="" w:eastAsia=""/>
                <w:b/>
                <w:i w:val="0"/>
                <w:color w:val="000000"/>
                <w:sz w:val="16"/>
              </w:rPr>
              <w:t xml:space="preserve">1.0 </w:t>
            </w:r>
            <w:r>
              <w:br/>
            </w:r>
            <w:r>
              <w:rPr>
                <w:rFonts w:ascii="" w:hAnsi="" w:eastAsia=""/>
                <w:b/>
                <w:i w:val="0"/>
                <w:color w:val="000000"/>
                <w:sz w:val="16"/>
              </w:rPr>
              <w:t xml:space="preserve">Purchase </w:t>
            </w:r>
          </w:p>
        </w:tc>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26" w:lineRule="auto" w:before="104" w:after="0"/>
              <w:ind w:left="0" w:right="0" w:firstLine="0"/>
              <w:jc w:val="center"/>
            </w:pPr>
            <w:r>
              <w:rPr>
                <w:rFonts w:ascii="" w:hAnsi="" w:eastAsia=""/>
                <w:b/>
                <w:i w:val="0"/>
                <w:color w:val="000000"/>
                <w:sz w:val="16"/>
              </w:rPr>
              <w:t>≥</w:t>
            </w:r>
            <w:r>
              <w:rPr>
                <w:rFonts w:ascii="" w:hAnsi="" w:eastAsia=""/>
                <w:b/>
                <w:i w:val="0"/>
                <w:color w:val="000000"/>
                <w:sz w:val="16"/>
              </w:rPr>
              <w:t xml:space="preserve">1.0 R&amp;T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26" w:lineRule="auto" w:before="104" w:after="0"/>
              <w:ind w:left="0" w:right="0" w:firstLine="0"/>
              <w:jc w:val="center"/>
            </w:pPr>
            <w:r>
              <w:rPr>
                <w:rFonts w:ascii="" w:hAnsi="" w:eastAsia=""/>
                <w:b/>
                <w:i w:val="0"/>
                <w:color w:val="000000"/>
                <w:sz w:val="16"/>
              </w:rPr>
              <w:t>≥</w:t>
            </w:r>
            <w:r>
              <w:rPr>
                <w:rFonts w:ascii="" w:hAnsi="" w:eastAsia=""/>
                <w:b/>
                <w:i w:val="0"/>
                <w:color w:val="000000"/>
                <w:sz w:val="16"/>
              </w:rPr>
              <w:t xml:space="preserve">1.0 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R&amp;T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R&amp;T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C/O </w:t>
            </w:r>
          </w:p>
        </w:tc>
      </w:tr>
      <w:tr>
        <w:trPr>
          <w:trHeight w:hRule="exact" w:val="240"/>
        </w:trPr>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620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65% </w:t>
            </w:r>
          </w:p>
        </w:tc>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55%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65%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55%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N/A </w:t>
            </w:r>
          </w:p>
        </w:tc>
      </w:tr>
      <w:tr>
        <w:trPr>
          <w:trHeight w:hRule="exact" w:val="240"/>
        </w:trPr>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600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60% </w:t>
            </w:r>
          </w:p>
        </w:tc>
        <w:tc>
          <w:tcPr>
            <w:tcW w:type="dxa" w:w="9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55%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60%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55%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0" w:after="0"/>
              <w:ind w:left="0" w:right="0" w:firstLine="0"/>
              <w:jc w:val="center"/>
            </w:pPr>
            <w:r>
              <w:rPr>
                <w:rFonts w:ascii="" w:hAnsi="" w:eastAsia=""/>
                <w:b w:val="0"/>
                <w:i w:val="0"/>
                <w:color w:val="000000"/>
                <w:sz w:val="16"/>
              </w:rPr>
              <w:t xml:space="preserve">N/A </w:t>
            </w:r>
          </w:p>
        </w:tc>
      </w:tr>
    </w:tbl>
    <w:p>
      <w:pPr>
        <w:autoSpaceDN w:val="0"/>
        <w:autoSpaceDE w:val="0"/>
        <w:widowControl/>
        <w:spacing w:line="197" w:lineRule="auto" w:before="198" w:after="0"/>
        <w:ind w:left="1440" w:right="0" w:firstLine="0"/>
        <w:jc w:val="left"/>
      </w:pPr>
      <w:r>
        <w:rPr>
          <w:rFonts w:ascii="" w:hAnsi="" w:eastAsia=""/>
          <w:b/>
          <w:i w:val="0"/>
          <w:color w:val="000000"/>
          <w:sz w:val="23"/>
        </w:rPr>
        <w:t>Loan $1,000,001 – $1,500,000</w:t>
      </w:r>
    </w:p>
    <w:tbl>
      <w:tblPr>
        <w:tblW w:type="auto" w:w="0"/>
        <w:tblLayout w:type="fixed"/>
        <w:tblLook w:firstColumn="1" w:firstRow="1" w:lastColumn="0" w:lastRow="0" w:noHBand="0" w:noVBand="1" w:val="04A0"/>
        <w:tblInd w:w="1450.0" w:type="dxa"/>
      </w:tblPr>
      <w:tblGrid>
        <w:gridCol w:w="936"/>
        <w:gridCol w:w="936"/>
        <w:gridCol w:w="936"/>
        <w:gridCol w:w="936"/>
        <w:gridCol w:w="936"/>
        <w:gridCol w:w="936"/>
        <w:gridCol w:w="936"/>
        <w:gridCol w:w="936"/>
        <w:gridCol w:w="936"/>
        <w:gridCol w:w="936"/>
      </w:tblGrid>
      <w:tr>
        <w:trPr>
          <w:trHeight w:hRule="exact" w:val="40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136" w:after="0"/>
              <w:ind w:left="0" w:right="0" w:firstLine="0"/>
              <w:jc w:val="center"/>
            </w:pPr>
            <w:r>
              <w:rPr>
                <w:rFonts w:ascii="" w:hAnsi="" w:eastAsia=""/>
                <w:b/>
                <w:i w:val="0"/>
                <w:color w:val="000000"/>
                <w:sz w:val="16"/>
              </w:rPr>
              <w:t xml:space="preserve">FICO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0" w:after="0"/>
              <w:ind w:left="144" w:right="0" w:firstLine="0"/>
              <w:jc w:val="center"/>
            </w:pPr>
            <w:r>
              <w:rPr>
                <w:rFonts w:ascii="" w:hAnsi="" w:eastAsia=""/>
                <w:b/>
                <w:i w:val="0"/>
                <w:color w:val="000000"/>
                <w:sz w:val="16"/>
              </w:rPr>
              <w:t>≥</w:t>
            </w:r>
            <w:r>
              <w:rPr>
                <w:rFonts w:ascii="" w:hAnsi="" w:eastAsia=""/>
                <w:b/>
                <w:i w:val="0"/>
                <w:color w:val="000000"/>
                <w:sz w:val="16"/>
              </w:rPr>
              <w:t xml:space="preserve">1.0 </w:t>
            </w:r>
            <w:r>
              <w:br/>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28" w:lineRule="auto" w:before="110" w:after="0"/>
              <w:ind w:left="0" w:right="0" w:firstLine="0"/>
              <w:jc w:val="center"/>
            </w:pPr>
            <w:r>
              <w:rPr>
                <w:rFonts w:ascii="" w:hAnsi="" w:eastAsia=""/>
                <w:b/>
                <w:i w:val="0"/>
                <w:color w:val="000000"/>
                <w:sz w:val="16"/>
              </w:rPr>
              <w:t>≥</w:t>
            </w:r>
            <w:r>
              <w:rPr>
                <w:rFonts w:ascii="" w:hAnsi="" w:eastAsia=""/>
                <w:b/>
                <w:i w:val="0"/>
                <w:color w:val="000000"/>
                <w:sz w:val="16"/>
              </w:rPr>
              <w:t xml:space="preserve">1.0 R&amp;T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28" w:lineRule="auto" w:before="110" w:after="0"/>
              <w:ind w:left="0" w:right="0" w:firstLine="0"/>
              <w:jc w:val="center"/>
            </w:pPr>
            <w:r>
              <w:rPr>
                <w:rFonts w:ascii="" w:hAnsi="" w:eastAsia=""/>
                <w:b/>
                <w:i w:val="0"/>
                <w:color w:val="000000"/>
                <w:sz w:val="16"/>
              </w:rPr>
              <w:t>≥</w:t>
            </w:r>
            <w:r>
              <w:rPr>
                <w:rFonts w:ascii="" w:hAnsi="" w:eastAsia=""/>
                <w:b/>
                <w:i w:val="0"/>
                <w:color w:val="000000"/>
                <w:sz w:val="16"/>
              </w:rPr>
              <w:t xml:space="preserve">1.0 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0" w:right="0" w:firstLine="0"/>
              <w:jc w:val="center"/>
            </w:pPr>
            <w:r>
              <w:rPr>
                <w:rFonts w:ascii="" w:hAnsi="" w:eastAsia=""/>
                <w:b/>
                <w:i w:val="0"/>
                <w:color w:val="000000"/>
                <w:sz w:val="16"/>
              </w:rPr>
              <w:t xml:space="preserve">0.99-0.75 </w:t>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R&amp;T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C/O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R&amp;T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C/O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700+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80%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80%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65%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680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660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70%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640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65%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55%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55%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620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50%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50%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50%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50%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50%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50%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600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8" w:after="0"/>
              <w:ind w:left="0" w:right="0" w:firstLine="0"/>
              <w:jc w:val="center"/>
            </w:pPr>
            <w:r>
              <w:rPr>
                <w:rFonts w:ascii="" w:hAnsi="" w:eastAsia=""/>
                <w:b w:val="0"/>
                <w:i w:val="0"/>
                <w:color w:val="000000"/>
                <w:sz w:val="16"/>
              </w:rPr>
              <w:t xml:space="preserve">N/A </w:t>
            </w:r>
          </w:p>
        </w:tc>
      </w:tr>
    </w:tbl>
    <w:p>
      <w:pPr>
        <w:autoSpaceDN w:val="0"/>
        <w:autoSpaceDE w:val="0"/>
        <w:widowControl/>
        <w:spacing w:line="197" w:lineRule="auto" w:before="206" w:after="0"/>
        <w:ind w:left="1440" w:right="0" w:firstLine="0"/>
        <w:jc w:val="left"/>
      </w:pPr>
      <w:r>
        <w:rPr>
          <w:rFonts w:ascii="" w:hAnsi="" w:eastAsia=""/>
          <w:b/>
          <w:i w:val="0"/>
          <w:color w:val="000000"/>
          <w:sz w:val="23"/>
        </w:rPr>
        <w:t>Loan $1,500,001 – $2,000,000</w:t>
      </w:r>
    </w:p>
    <w:tbl>
      <w:tblPr>
        <w:tblW w:type="auto" w:w="0"/>
        <w:tblLayout w:type="fixed"/>
        <w:tblLook w:firstColumn="1" w:firstRow="1" w:lastColumn="0" w:lastRow="0" w:noHBand="0" w:noVBand="1" w:val="04A0"/>
        <w:tblInd w:w="1450.0" w:type="dxa"/>
      </w:tblPr>
      <w:tblGrid>
        <w:gridCol w:w="936"/>
        <w:gridCol w:w="936"/>
        <w:gridCol w:w="936"/>
        <w:gridCol w:w="936"/>
        <w:gridCol w:w="936"/>
        <w:gridCol w:w="936"/>
        <w:gridCol w:w="936"/>
        <w:gridCol w:w="936"/>
        <w:gridCol w:w="936"/>
        <w:gridCol w:w="936"/>
      </w:tblGrid>
      <w:tr>
        <w:trPr>
          <w:trHeight w:hRule="exact" w:val="42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144" w:after="0"/>
              <w:ind w:left="0" w:right="0" w:firstLine="0"/>
              <w:jc w:val="center"/>
            </w:pPr>
            <w:r>
              <w:rPr>
                <w:rFonts w:ascii="" w:hAnsi="" w:eastAsia=""/>
                <w:b/>
                <w:i w:val="0"/>
                <w:color w:val="000000"/>
                <w:sz w:val="16"/>
              </w:rPr>
              <w:t xml:space="preserve">FICO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0" w:after="0"/>
              <w:ind w:left="144" w:right="0" w:firstLine="0"/>
              <w:jc w:val="center"/>
            </w:pPr>
            <w:r>
              <w:rPr>
                <w:rFonts w:ascii="" w:hAnsi="" w:eastAsia=""/>
                <w:b/>
                <w:i w:val="0"/>
                <w:color w:val="000000"/>
                <w:sz w:val="16"/>
              </w:rPr>
              <w:t>≥</w:t>
            </w:r>
            <w:r>
              <w:rPr>
                <w:rFonts w:ascii="" w:hAnsi="" w:eastAsia=""/>
                <w:b/>
                <w:i w:val="0"/>
                <w:color w:val="000000"/>
                <w:sz w:val="16"/>
              </w:rPr>
              <w:t xml:space="preserve">1.0 </w:t>
            </w:r>
            <w:r>
              <w:br/>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28" w:lineRule="auto" w:before="118" w:after="0"/>
              <w:ind w:left="0" w:right="0" w:firstLine="0"/>
              <w:jc w:val="center"/>
            </w:pPr>
            <w:r>
              <w:rPr>
                <w:rFonts w:ascii="" w:hAnsi="" w:eastAsia=""/>
                <w:b/>
                <w:i w:val="0"/>
                <w:color w:val="000000"/>
                <w:sz w:val="16"/>
              </w:rPr>
              <w:t>≥</w:t>
            </w:r>
            <w:r>
              <w:rPr>
                <w:rFonts w:ascii="" w:hAnsi="" w:eastAsia=""/>
                <w:b/>
                <w:i w:val="0"/>
                <w:color w:val="000000"/>
                <w:sz w:val="16"/>
              </w:rPr>
              <w:t xml:space="preserve">1.0 R&amp;T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28" w:lineRule="auto" w:before="118" w:after="0"/>
              <w:ind w:left="0" w:right="0" w:firstLine="0"/>
              <w:jc w:val="center"/>
            </w:pPr>
            <w:r>
              <w:rPr>
                <w:rFonts w:ascii="" w:hAnsi="" w:eastAsia=""/>
                <w:b/>
                <w:i w:val="0"/>
                <w:color w:val="000000"/>
                <w:sz w:val="16"/>
              </w:rPr>
              <w:t>≥</w:t>
            </w:r>
            <w:r>
              <w:rPr>
                <w:rFonts w:ascii="" w:hAnsi="" w:eastAsia=""/>
                <w:b/>
                <w:i w:val="0"/>
                <w:color w:val="000000"/>
                <w:sz w:val="16"/>
              </w:rPr>
              <w:t xml:space="preserve">1.0 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0" w:right="0" w:firstLine="0"/>
              <w:jc w:val="center"/>
            </w:pPr>
            <w:r>
              <w:rPr>
                <w:rFonts w:ascii="" w:hAnsi="" w:eastAsia=""/>
                <w:b/>
                <w:i w:val="0"/>
                <w:color w:val="000000"/>
                <w:sz w:val="16"/>
              </w:rPr>
              <w:t xml:space="preserve">0.99-0.75 </w:t>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R&amp;T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C/O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R&amp;T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4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C/O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720+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60%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700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75%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60%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680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640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620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600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6" w:after="0"/>
              <w:ind w:left="0" w:right="0" w:firstLine="0"/>
              <w:jc w:val="center"/>
            </w:pPr>
            <w:r>
              <w:rPr>
                <w:rFonts w:ascii="" w:hAnsi="" w:eastAsia=""/>
                <w:b w:val="0"/>
                <w:i w:val="0"/>
                <w:color w:val="000000"/>
                <w:sz w:val="16"/>
              </w:rPr>
              <w:t xml:space="preserve">N/A </w:t>
            </w:r>
          </w:p>
        </w:tc>
      </w:tr>
    </w:tbl>
    <w:p>
      <w:pPr>
        <w:autoSpaceDN w:val="0"/>
        <w:autoSpaceDE w:val="0"/>
        <w:widowControl/>
        <w:spacing w:line="197" w:lineRule="auto" w:before="194" w:after="0"/>
        <w:ind w:left="1440" w:right="0" w:firstLine="0"/>
        <w:jc w:val="left"/>
      </w:pPr>
      <w:r>
        <w:rPr>
          <w:rFonts w:ascii="" w:hAnsi="" w:eastAsia=""/>
          <w:b/>
          <w:i w:val="0"/>
          <w:color w:val="000000"/>
          <w:sz w:val="23"/>
        </w:rPr>
        <w:t>Loan $2,000,001 – $3,000,000</w:t>
      </w:r>
    </w:p>
    <w:tbl>
      <w:tblPr>
        <w:tblW w:type="auto" w:w="0"/>
        <w:tblLayout w:type="fixed"/>
        <w:tblLook w:firstColumn="1" w:firstRow="1" w:lastColumn="0" w:lastRow="0" w:noHBand="0" w:noVBand="1" w:val="04A0"/>
        <w:tblInd w:w="1450.0" w:type="dxa"/>
      </w:tblPr>
      <w:tblGrid>
        <w:gridCol w:w="936"/>
        <w:gridCol w:w="936"/>
        <w:gridCol w:w="936"/>
        <w:gridCol w:w="936"/>
        <w:gridCol w:w="936"/>
        <w:gridCol w:w="936"/>
        <w:gridCol w:w="936"/>
        <w:gridCol w:w="936"/>
        <w:gridCol w:w="936"/>
        <w:gridCol w:w="936"/>
      </w:tblGrid>
      <w:tr>
        <w:trPr>
          <w:trHeight w:hRule="exact" w:val="40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132" w:after="0"/>
              <w:ind w:left="0" w:right="0" w:firstLine="0"/>
              <w:jc w:val="center"/>
            </w:pPr>
            <w:r>
              <w:rPr>
                <w:rFonts w:ascii="" w:hAnsi="" w:eastAsia=""/>
                <w:b/>
                <w:i w:val="0"/>
                <w:color w:val="000000"/>
                <w:sz w:val="16"/>
              </w:rPr>
              <w:t xml:space="preserve">FICO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0" w:after="0"/>
              <w:ind w:left="144" w:right="0" w:firstLine="0"/>
              <w:jc w:val="center"/>
            </w:pPr>
            <w:r>
              <w:rPr>
                <w:rFonts w:ascii="" w:hAnsi="" w:eastAsia=""/>
                <w:b/>
                <w:i w:val="0"/>
                <w:color w:val="000000"/>
                <w:sz w:val="16"/>
              </w:rPr>
              <w:t>≥</w:t>
            </w:r>
            <w:r>
              <w:rPr>
                <w:rFonts w:ascii="" w:hAnsi="" w:eastAsia=""/>
                <w:b/>
                <w:i w:val="0"/>
                <w:color w:val="000000"/>
                <w:sz w:val="16"/>
              </w:rPr>
              <w:t xml:space="preserve">1.0 </w:t>
            </w:r>
            <w:r>
              <w:br/>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28" w:lineRule="auto" w:before="106" w:after="0"/>
              <w:ind w:left="0" w:right="0" w:firstLine="0"/>
              <w:jc w:val="center"/>
            </w:pPr>
            <w:r>
              <w:rPr>
                <w:rFonts w:ascii="" w:hAnsi="" w:eastAsia=""/>
                <w:b/>
                <w:i w:val="0"/>
                <w:color w:val="000000"/>
                <w:sz w:val="16"/>
              </w:rPr>
              <w:t>≥</w:t>
            </w:r>
            <w:r>
              <w:rPr>
                <w:rFonts w:ascii="" w:hAnsi="" w:eastAsia=""/>
                <w:b/>
                <w:i w:val="0"/>
                <w:color w:val="000000"/>
                <w:sz w:val="16"/>
              </w:rPr>
              <w:t xml:space="preserve">1.0 R&amp;T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28" w:lineRule="auto" w:before="106" w:after="0"/>
              <w:ind w:left="0" w:right="0" w:firstLine="0"/>
              <w:jc w:val="center"/>
            </w:pPr>
            <w:r>
              <w:rPr>
                <w:rFonts w:ascii="" w:hAnsi="" w:eastAsia=""/>
                <w:b/>
                <w:i w:val="0"/>
                <w:color w:val="000000"/>
                <w:sz w:val="16"/>
              </w:rPr>
              <w:t>≥</w:t>
            </w:r>
            <w:r>
              <w:rPr>
                <w:rFonts w:ascii="" w:hAnsi="" w:eastAsia=""/>
                <w:b/>
                <w:i w:val="0"/>
                <w:color w:val="000000"/>
                <w:sz w:val="16"/>
              </w:rPr>
              <w:t xml:space="preserve">1.0 C/O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0" w:right="0" w:firstLine="0"/>
              <w:jc w:val="center"/>
            </w:pPr>
            <w:r>
              <w:rPr>
                <w:rFonts w:ascii="" w:hAnsi="" w:eastAsia=""/>
                <w:b/>
                <w:i w:val="0"/>
                <w:color w:val="000000"/>
                <w:sz w:val="16"/>
              </w:rPr>
              <w:t xml:space="preserve">0.99-0.75 </w:t>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R&amp;T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0.99-0.75 </w:t>
            </w:r>
            <w:r>
              <w:rPr>
                <w:rFonts w:ascii="" w:hAnsi="" w:eastAsia=""/>
                <w:b/>
                <w:i w:val="0"/>
                <w:color w:val="000000"/>
                <w:sz w:val="16"/>
              </w:rPr>
              <w:t xml:space="preserve">C/O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Purchase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R&amp;T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245" w:lineRule="auto" w:before="24" w:after="0"/>
              <w:ind w:left="144" w:right="0" w:firstLine="0"/>
              <w:jc w:val="center"/>
            </w:pPr>
            <w:r>
              <w:rPr>
                <w:rFonts w:ascii="" w:hAnsi="" w:eastAsia=""/>
                <w:b/>
                <w:i w:val="0"/>
                <w:color w:val="000000"/>
                <w:sz w:val="16"/>
              </w:rPr>
              <w:t xml:space="preserve">No-Ratio </w:t>
            </w:r>
            <w:r>
              <w:rPr>
                <w:rFonts w:ascii="" w:hAnsi="" w:eastAsia=""/>
                <w:b/>
                <w:i w:val="0"/>
                <w:color w:val="000000"/>
                <w:sz w:val="16"/>
              </w:rPr>
              <w:t xml:space="preserve">C/O </w:t>
            </w:r>
          </w:p>
        </w:tc>
      </w:tr>
      <w:tr>
        <w:trPr>
          <w:trHeight w:hRule="exact" w:val="240"/>
        </w:trPr>
        <w:tc>
          <w:tcPr>
            <w:tcW w:type="dxa" w:w="82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4" w:after="0"/>
              <w:ind w:left="0" w:right="0" w:firstLine="0"/>
              <w:jc w:val="center"/>
            </w:pPr>
            <w:r>
              <w:rPr>
                <w:rFonts w:ascii="" w:hAnsi="" w:eastAsia=""/>
                <w:b w:val="0"/>
                <w:i w:val="0"/>
                <w:color w:val="000000"/>
                <w:sz w:val="16"/>
              </w:rPr>
              <w:t xml:space="preserve">700+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4" w:after="0"/>
              <w:ind w:left="0" w:right="0" w:firstLine="0"/>
              <w:jc w:val="center"/>
            </w:pPr>
            <w:r>
              <w:rPr>
                <w:rFonts w:ascii="" w:hAnsi="" w:eastAsia=""/>
                <w:b w:val="0"/>
                <w:i w:val="0"/>
                <w:color w:val="000000"/>
                <w:sz w:val="16"/>
              </w:rPr>
              <w:t xml:space="preserve">70%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4" w:after="0"/>
              <w:ind w:left="0" w:right="0" w:firstLine="0"/>
              <w:jc w:val="center"/>
            </w:pPr>
            <w:r>
              <w:rPr>
                <w:rFonts w:ascii="" w:hAnsi="" w:eastAsia=""/>
                <w:b w:val="0"/>
                <w:i w:val="0"/>
                <w:color w:val="000000"/>
                <w:sz w:val="16"/>
              </w:rPr>
              <w:t xml:space="preserve">70%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4" w:after="0"/>
              <w:ind w:left="0" w:right="0" w:firstLine="0"/>
              <w:jc w:val="center"/>
            </w:pPr>
            <w:r>
              <w:rPr>
                <w:rFonts w:ascii="" w:hAnsi="" w:eastAsia=""/>
                <w:b w:val="0"/>
                <w:i w:val="0"/>
                <w:color w:val="000000"/>
                <w:sz w:val="16"/>
              </w:rPr>
              <w:t xml:space="preserve">65%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4" w:after="0"/>
              <w:ind w:left="0" w:right="0" w:firstLine="0"/>
              <w:jc w:val="center"/>
            </w:pPr>
            <w:r>
              <w:rPr>
                <w:rFonts w:ascii="" w:hAnsi="" w:eastAsia=""/>
                <w:b w:val="0"/>
                <w:i w:val="0"/>
                <w:color w:val="000000"/>
                <w:sz w:val="16"/>
              </w:rPr>
              <w:t xml:space="preserve">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4" w:after="0"/>
              <w:ind w:left="0" w:right="0" w:firstLine="0"/>
              <w:jc w:val="center"/>
            </w:pPr>
            <w:r>
              <w:rPr>
                <w:rFonts w:ascii="" w:hAnsi="" w:eastAsia=""/>
                <w:b w:val="0"/>
                <w:i w:val="0"/>
                <w:color w:val="000000"/>
                <w:sz w:val="16"/>
              </w:rPr>
              <w:t xml:space="preserve">60%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4" w:after="0"/>
              <w:ind w:left="0" w:right="0" w:firstLine="0"/>
              <w:jc w:val="center"/>
            </w:pPr>
            <w:r>
              <w:rPr>
                <w:rFonts w:ascii="" w:hAnsi="" w:eastAsia=""/>
                <w:b w:val="0"/>
                <w:i w:val="0"/>
                <w:color w:val="000000"/>
                <w:sz w:val="16"/>
              </w:rPr>
              <w:t xml:space="preserve">N/A </w:t>
            </w:r>
          </w:p>
        </w:tc>
        <w:tc>
          <w:tcPr>
            <w:tcW w:type="dxa" w:w="9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4"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4" w:after="0"/>
              <w:ind w:left="0" w:right="0" w:firstLine="0"/>
              <w:jc w:val="center"/>
            </w:pPr>
            <w:r>
              <w:rPr>
                <w:rFonts w:ascii="" w:hAnsi="" w:eastAsia=""/>
                <w:b w:val="0"/>
                <w:i w:val="0"/>
                <w:color w:val="000000"/>
                <w:sz w:val="16"/>
              </w:rPr>
              <w:t xml:space="preserve">N/A </w:t>
            </w:r>
          </w:p>
        </w:tc>
        <w:tc>
          <w:tcPr>
            <w:tcW w:type="dxa" w:w="94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54" w:after="0"/>
              <w:ind w:left="0" w:right="0" w:firstLine="0"/>
              <w:jc w:val="center"/>
            </w:pPr>
            <w:r>
              <w:rPr>
                <w:rFonts w:ascii="" w:hAnsi="" w:eastAsia=""/>
                <w:b w:val="0"/>
                <w:i w:val="0"/>
                <w:color w:val="000000"/>
                <w:sz w:val="16"/>
              </w:rPr>
              <w:t xml:space="preserve">N/A </w:t>
            </w:r>
          </w:p>
        </w:tc>
      </w:tr>
    </w:tbl>
    <w:p>
      <w:pPr>
        <w:autoSpaceDN w:val="0"/>
        <w:autoSpaceDE w:val="0"/>
        <w:widowControl/>
        <w:spacing w:line="197" w:lineRule="auto" w:before="202" w:after="0"/>
        <w:ind w:left="1440" w:right="0" w:firstLine="0"/>
        <w:jc w:val="left"/>
      </w:pPr>
      <w:r>
        <w:rPr>
          <w:rFonts w:ascii="" w:hAnsi="" w:eastAsia=""/>
          <w:b/>
          <w:i w:val="0"/>
          <w:color w:val="000000"/>
          <w:sz w:val="23"/>
        </w:rPr>
        <w:t>Property Type LTV Summary</w:t>
      </w:r>
    </w:p>
    <w:tbl>
      <w:tblPr>
        <w:tblW w:type="auto" w:w="0"/>
        <w:tblLayout w:type="fixed"/>
        <w:tblLook w:firstColumn="1" w:firstRow="1" w:lastColumn="0" w:lastRow="0" w:noHBand="0" w:noVBand="1" w:val="04A0"/>
        <w:tblInd w:w="1450.0" w:type="dxa"/>
      </w:tblPr>
      <w:tblGrid>
        <w:gridCol w:w="4680"/>
        <w:gridCol w:w="4680"/>
      </w:tblGrid>
      <w:tr>
        <w:trPr>
          <w:trHeight w:hRule="exact" w:val="240"/>
        </w:trPr>
        <w:tc>
          <w:tcPr>
            <w:tcW w:type="dxa" w:w="45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i w:val="0"/>
                <w:color w:val="000000"/>
                <w:sz w:val="18"/>
              </w:rPr>
              <w:t xml:space="preserve">Property Type </w:t>
            </w:r>
          </w:p>
        </w:tc>
        <w:tc>
          <w:tcPr>
            <w:tcW w:type="dxa" w:w="48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i w:val="0"/>
                <w:color w:val="000000"/>
                <w:sz w:val="18"/>
              </w:rPr>
              <w:t xml:space="preserve">Max LTV </w:t>
            </w:r>
          </w:p>
        </w:tc>
      </w:tr>
      <w:tr>
        <w:trPr>
          <w:trHeight w:hRule="exact" w:val="240"/>
        </w:trPr>
        <w:tc>
          <w:tcPr>
            <w:tcW w:type="dxa" w:w="45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1–4 Units Residential </w:t>
            </w:r>
          </w:p>
        </w:tc>
        <w:tc>
          <w:tcPr>
            <w:tcW w:type="dxa" w:w="48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80% (Purchase) / 80% (RT) / 75% (Cash-Out) </w:t>
            </w:r>
          </w:p>
        </w:tc>
      </w:tr>
      <w:tr>
        <w:trPr>
          <w:trHeight w:hRule="exact" w:val="240"/>
        </w:trPr>
        <w:tc>
          <w:tcPr>
            <w:tcW w:type="dxa" w:w="45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Declining Markets </w:t>
            </w:r>
          </w:p>
        </w:tc>
        <w:tc>
          <w:tcPr>
            <w:tcW w:type="dxa" w:w="48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5% LTV reduction (as identified by appraiser) </w:t>
            </w:r>
          </w:p>
        </w:tc>
      </w:tr>
      <w:tr>
        <w:trPr>
          <w:trHeight w:hRule="exact" w:val="240"/>
        </w:trPr>
        <w:tc>
          <w:tcPr>
            <w:tcW w:type="dxa" w:w="45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Non-Warrantable Condo </w:t>
            </w:r>
          </w:p>
        </w:tc>
        <w:tc>
          <w:tcPr>
            <w:tcW w:type="dxa" w:w="48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Max LTV 75% </w:t>
            </w:r>
          </w:p>
        </w:tc>
      </w:tr>
      <w:tr>
        <w:trPr>
          <w:trHeight w:hRule="exact" w:val="240"/>
        </w:trPr>
        <w:tc>
          <w:tcPr>
            <w:tcW w:type="dxa" w:w="45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Florida Condos </w:t>
            </w:r>
          </w:p>
        </w:tc>
        <w:tc>
          <w:tcPr>
            <w:tcW w:type="dxa" w:w="48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5% LTV reduction </w:t>
            </w:r>
          </w:p>
        </w:tc>
      </w:tr>
    </w:tbl>
    <w:p>
      <w:pPr>
        <w:autoSpaceDN w:val="0"/>
        <w:autoSpaceDE w:val="0"/>
        <w:widowControl/>
        <w:spacing w:line="197" w:lineRule="auto" w:before="204" w:after="0"/>
        <w:ind w:left="1440" w:right="0" w:firstLine="0"/>
        <w:jc w:val="left"/>
      </w:pPr>
      <w:r>
        <w:rPr>
          <w:rFonts w:ascii="" w:hAnsi="" w:eastAsia=""/>
          <w:b/>
          <w:i w:val="0"/>
          <w:color w:val="000000"/>
          <w:sz w:val="23"/>
        </w:rPr>
        <w:t>Reserve Requirements</w:t>
      </w:r>
    </w:p>
    <w:tbl>
      <w:tblPr>
        <w:tblW w:type="auto" w:w="0"/>
        <w:tblLayout w:type="fixed"/>
        <w:tblLook w:firstColumn="1" w:firstRow="1" w:lastColumn="0" w:lastRow="0" w:noHBand="0" w:noVBand="1" w:val="04A0"/>
        <w:tblInd w:w="1450.0" w:type="dxa"/>
      </w:tblPr>
      <w:tblGrid>
        <w:gridCol w:w="4680"/>
        <w:gridCol w:w="4680"/>
      </w:tblGrid>
      <w:tr>
        <w:trPr>
          <w:trHeight w:hRule="exact" w:val="240"/>
        </w:trPr>
        <w:tc>
          <w:tcPr>
            <w:tcW w:type="dxa" w:w="48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i w:val="0"/>
                <w:color w:val="000000"/>
                <w:sz w:val="18"/>
              </w:rPr>
              <w:t xml:space="preserve">Reserve Type </w:t>
            </w:r>
          </w:p>
        </w:tc>
        <w:tc>
          <w:tcPr>
            <w:tcW w:type="dxa" w:w="45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i w:val="0"/>
                <w:color w:val="000000"/>
                <w:sz w:val="18"/>
              </w:rPr>
              <w:t xml:space="preserve">Reserve Month </w:t>
            </w:r>
          </w:p>
        </w:tc>
      </w:tr>
      <w:tr>
        <w:trPr>
          <w:trHeight w:hRule="exact" w:val="240"/>
        </w:trPr>
        <w:tc>
          <w:tcPr>
            <w:tcW w:type="dxa" w:w="48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$100,000 – $1,000,000 </w:t>
            </w:r>
          </w:p>
        </w:tc>
        <w:tc>
          <w:tcPr>
            <w:tcW w:type="dxa" w:w="45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3 Months </w:t>
            </w:r>
          </w:p>
        </w:tc>
      </w:tr>
      <w:tr>
        <w:trPr>
          <w:trHeight w:hRule="exact" w:val="240"/>
        </w:trPr>
        <w:tc>
          <w:tcPr>
            <w:tcW w:type="dxa" w:w="48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$1,000,001 – $2,000,000 </w:t>
            </w:r>
          </w:p>
        </w:tc>
        <w:tc>
          <w:tcPr>
            <w:tcW w:type="dxa" w:w="45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6 Months </w:t>
            </w:r>
          </w:p>
        </w:tc>
      </w:tr>
      <w:tr>
        <w:trPr>
          <w:trHeight w:hRule="exact" w:val="240"/>
        </w:trPr>
        <w:tc>
          <w:tcPr>
            <w:tcW w:type="dxa" w:w="48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1838" w:firstLine="0"/>
              <w:jc w:val="right"/>
            </w:pPr>
            <w:r>
              <w:rPr>
                <w:rFonts w:ascii="" w:hAnsi="" w:eastAsia=""/>
                <w:b w:val="0"/>
                <w:i w:val="0"/>
                <w:color w:val="000000"/>
                <w:sz w:val="18"/>
              </w:rPr>
              <w:t xml:space="preserve">$2,000,000+ </w:t>
            </w:r>
          </w:p>
        </w:tc>
        <w:tc>
          <w:tcPr>
            <w:tcW w:type="dxa" w:w="45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12 Months </w:t>
            </w:r>
          </w:p>
        </w:tc>
      </w:tr>
      <w:tr>
        <w:trPr>
          <w:trHeight w:hRule="exact" w:val="240"/>
        </w:trPr>
        <w:tc>
          <w:tcPr>
            <w:tcW w:type="dxa" w:w="48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Foreign National </w:t>
            </w:r>
          </w:p>
        </w:tc>
        <w:tc>
          <w:tcPr>
            <w:tcW w:type="dxa" w:w="45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12 Months </w:t>
            </w:r>
          </w:p>
        </w:tc>
      </w:tr>
      <w:tr>
        <w:trPr>
          <w:trHeight w:hRule="exact" w:val="240"/>
        </w:trPr>
        <w:tc>
          <w:tcPr>
            <w:tcW w:type="dxa" w:w="48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Additional Financed Properties Reserves </w:t>
            </w:r>
          </w:p>
        </w:tc>
        <w:tc>
          <w:tcPr>
            <w:tcW w:type="dxa" w:w="45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None </w:t>
            </w:r>
          </w:p>
        </w:tc>
      </w:tr>
      <w:tr>
        <w:trPr>
          <w:trHeight w:hRule="exact" w:val="240"/>
        </w:trPr>
        <w:tc>
          <w:tcPr>
            <w:tcW w:type="dxa" w:w="486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Cash Out Used as Reserves </w:t>
            </w:r>
          </w:p>
        </w:tc>
        <w:tc>
          <w:tcPr>
            <w:tcW w:type="dxa" w:w="4500"/>
            <w:tcBorders>
              <w:start w:sz="8.0" w:val="single" w:color="#000000"/>
              <w:top w:sz="8.0" w:val="single" w:color="#000000"/>
              <w:end w:sz="8.0" w:val="single" w:color="#000000"/>
              <w:bottom w:sz="8.0" w:val="single" w:color="#000000"/>
            </w:tcBorders>
            <w:tcMar>
              <w:start w:w="0" w:type="dxa"/>
              <w:end w:w="0" w:type="dxa"/>
            </w:tcMar>
          </w:tcPr>
          <w:p>
            <w:pPr>
              <w:autoSpaceDN w:val="0"/>
              <w:autoSpaceDE w:val="0"/>
              <w:widowControl/>
              <w:spacing w:line="197" w:lineRule="auto" w:before="40" w:after="0"/>
              <w:ind w:left="0" w:right="0" w:firstLine="0"/>
              <w:jc w:val="center"/>
            </w:pPr>
            <w:r>
              <w:rPr>
                <w:rFonts w:ascii="" w:hAnsi="" w:eastAsia=""/>
                <w:b w:val="0"/>
                <w:i w:val="0"/>
                <w:color w:val="000000"/>
                <w:sz w:val="18"/>
              </w:rPr>
              <w:t xml:space="preserve">Allowable </w:t>
            </w:r>
          </w:p>
        </w:tc>
      </w:tr>
    </w:tbl>
    <w:p>
      <w:pPr>
        <w:autoSpaceDN w:val="0"/>
        <w:autoSpaceDE w:val="0"/>
        <w:widowControl/>
        <w:spacing w:line="218" w:lineRule="auto" w:before="2582" w:after="0"/>
        <w:ind w:left="0" w:right="0" w:firstLine="0"/>
        <w:jc w:val="center"/>
      </w:pPr>
      <w:r>
        <w:rPr>
          <w:rFonts w:ascii="" w:hAnsi="" w:eastAsia=""/>
          <w:b w:val="0"/>
          <w:i w:val="0"/>
          <w:color w:val="4F81BD"/>
          <w:sz w:val="22"/>
        </w:rPr>
        <w:t xml:space="preserve">14 </w:t>
      </w:r>
    </w:p>
    <w:sectPr w:rsidR="00FC693F" w:rsidRPr="0006063C" w:rsidSect="00034616">
      <w:pgSz w:w="12240" w:h="15840"/>
      <w:pgMar w:top="0" w:right="0" w:bottom="0" w:left="0" w:header="720" w:footer="720"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www.dhs.gov/visa-waiver-program-requirements" TargetMode="External"/><Relationship Id="rId10" Type="http://schemas.openxmlformats.org/officeDocument/2006/relationships/hyperlink" Target="http://www.fema.gov.disas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